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14/2015/TT-BKHĐT</w:t>
      </w:r>
    </w:p>
    <w:p>
      <w:pPr>
        <w:jc w:val="both"/>
      </w:pPr>
      <w:r>
        <w:t>Hà Nội, ngày 17 tháng 11 năm 2015</w:t>
      </w:r>
    </w:p>
    <w:p>
      <w:pPr>
        <w:jc w:val="center"/>
      </w:pPr>
      <w:r>
        <w:rPr>
          <w:b/>
        </w:rPr>
        <w:t>THÔNG TƯ</w:t>
      </w:r>
    </w:p>
    <w:p>
      <w:pPr>
        <w:jc w:val="both"/>
      </w:pPr>
      <w:r>
        <w:t>Ban hành D anh mục máy móc, thiết bị, phụ tùng thay thế, phương tiện vận tải chuyên dùng, nguyên liệu, vật tư, linh kiện, bán thành phẩm trong nước đã sản xuất được</w:t>
      </w:r>
    </w:p>
    <w:p>
      <w:pPr>
        <w:jc w:val="both"/>
      </w:pPr>
      <w:r>
        <w:t>___________________________</w:t>
      </w:r>
    </w:p>
    <w:p>
      <w:pPr>
        <w:jc w:val="both"/>
      </w:pPr>
      <w:r>
        <w:t>Căn cứ Nghị định s ố 116/2008/NĐ-CP ngày 14/11/2008 của Ch í nh phủ quy định chức năng, nhiệm vụ, quy ề n hạn và cơ cấu t ổ chức của Bộ K ế hoạch và Đầu tư;</w:t>
      </w:r>
    </w:p>
    <w:p>
      <w:pPr>
        <w:jc w:val="both"/>
      </w:pPr>
      <w:r>
        <w:t>Căn cứ Nghị định số 87/2010/NĐ-CP ngày 13/8/2010 của Chính phủ quy định ch i t iế t th i hành một s ố đi ề u của Luật Thuế xuất kh ẩ u, Luật Thuế nhập kh ẩ u số 45/2005/QH 11 ;</w:t>
      </w:r>
    </w:p>
    <w:p>
      <w:pPr>
        <w:jc w:val="both"/>
      </w:pPr>
      <w:r>
        <w:t>Căn cứ Nghị định s ố 209/2013/NĐ-CP ngà y 18/12/2013 của Ch í nh phủ quy định chi tiết và hướng d ẫ n thi hành một s ố điều Luật Thuế giá trị gia tăng s ố 1 3/2008/QH12;</w:t>
      </w:r>
    </w:p>
    <w:p>
      <w:pPr>
        <w:jc w:val="both"/>
      </w:pPr>
      <w:r>
        <w:t>Căn cứ Quyết định s ố 13/2015/QĐ-TTg ngày 05/5/20 1 5 của Thủ tướng Ch í nh phủ về cơ chế, chính sách khuyến khích phát tri ể n vận tải hành khách công cộng bằng xe buýt;</w:t>
      </w:r>
    </w:p>
    <w:p>
      <w:pPr>
        <w:jc w:val="both"/>
      </w:pPr>
      <w:r>
        <w:t>Bộ K ế hoạch và Đầu tư ban hành Danh mục máy móc, thiết bị, phụ tùng thay thế, phương tiện vận tải chuyên dùng, nguyên liệu, vật tư, linh kiện, bán thành phẩm trong nước đã sản xuất được như sau:</w:t>
      </w:r>
    </w:p>
    <w:p>
      <w:pPr>
        <w:jc w:val="both"/>
      </w:pPr>
      <w:r>
        <w:rPr>
          <w:b/>
        </w:rPr>
        <w:t>Điều 1. Ban hành kèm theo Thông tư các Danh mục sau:</w:t>
      </w:r>
    </w:p>
    <w:p>
      <w:pPr>
        <w:jc w:val="both"/>
      </w:pPr>
      <w:r>
        <w:t>1. Danh mục phương tiện vận tải chuyên dùng trong nước đã sản xuất được (Phụ lục I);</w:t>
      </w:r>
    </w:p>
    <w:p>
      <w:pPr>
        <w:jc w:val="both"/>
      </w:pPr>
      <w:r>
        <w:t>2. Danh mục máy móc, thiết bị trong nước đã sản xuất được (Phụ lục II);</w:t>
      </w:r>
    </w:p>
    <w:p>
      <w:pPr>
        <w:jc w:val="both"/>
      </w:pPr>
      <w:r>
        <w:t>3. Danh mục vật tư xây dựng trong nước đã sản xuất được (Phụ lục III);</w:t>
      </w:r>
    </w:p>
    <w:p>
      <w:pPr>
        <w:jc w:val="both"/>
      </w:pPr>
      <w:r>
        <w:t>4. Danh mục nguyên liệu, vật tư, linh kiện, phụ tùng thay thế trong nước đã sản xuất được (Phụ lục IV);</w:t>
      </w:r>
    </w:p>
    <w:p>
      <w:pPr>
        <w:jc w:val="both"/>
      </w:pPr>
      <w:r>
        <w:t>5. Danh mục linh kiện, phụ tùng xe buýt trong nước đã sản xuất được (Phụ lục V);</w:t>
      </w:r>
    </w:p>
    <w:p>
      <w:pPr>
        <w:jc w:val="both"/>
      </w:pPr>
      <w:r>
        <w:t>6. Danh mục vật tư cần thiết cho hoạt động dầu khí trong nước đã sản xuất được (Phụ lục VI);</w:t>
      </w:r>
    </w:p>
    <w:p>
      <w:pPr>
        <w:jc w:val="both"/>
      </w:pPr>
      <w:r>
        <w:t>7. Danh mục nguyên liệu, vật tư, bán thành phẩm phục vụ cho việc đóng tàu trong nước đã sản xuất được (Phụ lục VII);</w:t>
      </w:r>
    </w:p>
    <w:p>
      <w:pPr>
        <w:jc w:val="both"/>
      </w:pPr>
      <w:r>
        <w:t>8. Danh mục nguyên liệu, vật tư phục vụ trực tiếp cho sản xuất sản phẩm phần mềm trong nước đã sản xuất được (Phụ lục VIII).</w:t>
      </w:r>
    </w:p>
    <w:p>
      <w:pPr>
        <w:jc w:val="both"/>
      </w:pPr>
      <w:r>
        <w:rPr>
          <w:b/>
        </w:rPr>
        <w:t>Điều 2. Các Danh mục được ban hành tại Điều 1 của Thông tư này là căn cứ xác định đối tượng không chịu thuế giá trị gia tăng theo quy định tại Nghị định số 209/2013/NĐ-CP ngày 18/12/2013 của Chính phủ quy định chi tiết và hướng dẫn thi hành một số điều Luật Thuế giá trị gia tăng; xác định đối tượng miễn thuế nhập khẩu theo quy định tại Nghị định số 87/2010/NĐ-CP ngày 13/8/2010 của Chính phủ quy định chi tiết thi hành một số điều của Luật Thuế xuất khẩu, Luật Thuế nhập khẩu; xác định đối tượng miễn thuế nhập khẩu theo Quyết định số 13/2015/QĐ-TTg ngày 05/5/2015 của Thủ tướng Chính phủ về cơ chế, chính sách khuyến khích phát triển vận tải hành khách công cộng bằng xe buýt.</w:t>
      </w:r>
    </w:p>
    <w:p>
      <w:pPr>
        <w:jc w:val="both"/>
      </w:pPr>
      <w:r>
        <w:rPr>
          <w:b/>
        </w:rPr>
        <w:t>Điều 3. Các hàng hóa trong nước đã sản xuất được nêu tại các Danh mục ban hành kèm theo Thông tư này được áp dụng chung và không phụ thuộc mục đích sử dụng, trừ hàng hóa chuyên dùng.</w:t>
      </w:r>
    </w:p>
    <w:p>
      <w:pPr>
        <w:jc w:val="both"/>
      </w:pPr>
      <w:r>
        <w:t>Hàng hóa chuyên dùng quy định tại Điều này là hàng hóa đòi hỏi phải đáp ứng tiêu chuẩn kỹ thuật đặc thù khi sử dụng được nêu trong các chứng chỉ chuyên ngành.</w:t>
      </w:r>
    </w:p>
    <w:p>
      <w:pPr>
        <w:jc w:val="both"/>
      </w:pPr>
      <w:r>
        <w:rPr>
          <w:b/>
        </w:rPr>
        <w:t>Điều 4. Thông tư này có hiệu lực kể từ ngày 01 tháng 01 năm 2016 và thay thế Thông tư số 04/2012/TT-BKHĐT ngày 13/8/2012 của Bộ Kế hoạch và Đầu tư.</w:t>
      </w:r>
    </w:p>
    <w:p>
      <w:pPr>
        <w:jc w:val="both"/>
      </w:pPr>
      <w:r>
        <w:t>Trong quá trình triển khai thực hiện, nếu có vướng mắc, đề nghị phản ánh kịp thời về Bộ Kế hoạch và Đầu tư để nghiên cứu sửa đổi, bổ sung.</w:t>
      </w:r>
    </w:p>
    <w:p>
      <w:pPr>
        <w:jc w:val="both"/>
      </w:pPr>
      <w:r>
        <w:t>KT. BỘ TRƯỞNG</w:t>
      </w:r>
    </w:p>
    <w:p>
      <w:pPr>
        <w:jc w:val="both"/>
      </w:pPr>
      <w:r>
        <w:t>THỨ TRƯỞNG</w:t>
      </w:r>
    </w:p>
    <w:p>
      <w:pPr>
        <w:jc w:val="both"/>
      </w:pPr>
      <w:r>
        <w:t>(Đã ký)</w:t>
      </w:r>
    </w:p>
    <w:p>
      <w:pPr>
        <w:jc w:val="both"/>
      </w:pPr>
      <w:r>
        <w:t>Nguyễn Văn Hiếu</w:t>
      </w:r>
    </w:p>
    <w:p>
      <w:r>
        <w:rPr>
          <w:i/>
        </w:rPr>
        <w:t>Nguồn: Cơ sở dữ liệu quốc gia về văn bản pháp luật (Bộ Tư pháp). VietSmart Legal, legal.giangpham.asia/van-ban/92881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