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200/2013/TT-BTC</w:t>
      </w:r>
    </w:p>
    <w:p>
      <w:pPr>
        <w:jc w:val="both"/>
      </w:pPr>
      <w:r>
        <w:t>CỘNG HOÀ XÃ HỘI CHỦ NGHĨA VIỆT NAM</w:t>
      </w:r>
    </w:p>
    <w:p>
      <w:pPr>
        <w:jc w:val="both"/>
      </w:pPr>
      <w:r>
        <w:t>Độc lập – Tự do – Hạnh phúc</w:t>
      </w:r>
    </w:p>
    <w:p>
      <w:pPr>
        <w:jc w:val="both"/>
      </w:pPr>
      <w:r>
        <w:t>Hà Nội, ngày 20 tháng 12 năm 2013</w:t>
      </w:r>
    </w:p>
    <w:p>
      <w:pPr>
        <w:jc w:val="center"/>
      </w:pPr>
      <w:r>
        <w:rPr>
          <w:b/>
        </w:rPr>
        <w:t>THÔNG TƯ</w:t>
      </w:r>
    </w:p>
    <w:p>
      <w:pPr>
        <w:jc w:val="both"/>
      </w:pPr>
      <w:r>
        <w:t>Sửa đổi, bổ sung Thông tư số 236/2009/TT-BTC ngày 15/12/2009 của Bộ Tài chính hướng dẫn chế độ thu, nộp, quản lý và sử dụng phí và lệ phí lãnh sự áp dụng tại các Cơ quan đại diện ngoại giao, Cơ quan đại diện lãnh sự Việt Nam ở nước ngoài</w:t>
      </w:r>
    </w:p>
    <w:p>
      <w:pPr>
        <w:jc w:val="both"/>
      </w:pPr>
      <w:r>
        <w:t>Căn cứ Luật Cơ quan đại diện nước Cộng hoà Xã hội chủ nghĩa Việt Nam ở nước ngoài số 33/2009/QH12 ngày 18 tháng 6 năm 2009;</w:t>
      </w:r>
    </w:p>
    <w:p>
      <w:pPr>
        <w:jc w:val="both"/>
      </w:pPr>
      <w:r>
        <w:t>Căn cứ Pháp lệnh Phí và lệ phí số 38/2001/PL-UBTVQH10 ngày 28 tháng 8 năm 2001;</w:t>
      </w:r>
    </w:p>
    <w:p>
      <w:pPr>
        <w:jc w:val="both"/>
      </w:pPr>
      <w:r>
        <w:t>Căn cứ Nghị định số 57/2002/NĐ-CP ngày 03 tháng 6 năm 2002 của Chính phủ quy định chi tiết thi hành Pháp lệnh phí và lệ phí và Nghị định số 24/2006/NĐ-CP ngày 06 tháng 3 năm 2006 của Chính phủ về việc sửa đổi, bổ sung một số điều của Nghị định số 57/2002/NĐ-CP;</w:t>
      </w:r>
    </w:p>
    <w:p>
      <w:pPr>
        <w:jc w:val="both"/>
      </w:pPr>
      <w:r>
        <w:t>Căn cứ Nghị định số 136/2007/NĐ-CP ngày 17 tháng 8 năm 2007 của Chính phủ về xuất nhập cảnh của công dân Việt Nam;</w:t>
      </w:r>
    </w:p>
    <w:p>
      <w:pPr>
        <w:jc w:val="both"/>
      </w:pPr>
      <w:r>
        <w:t>Căn cứ Nghị định số 118/2008/NĐ-CP ngày 27 tháng 11 năm 2008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Thông tư số 236/2009/TT-BTC ngày 15/12/2009 của Bộ Tài chính hướng dẫn chế độ thu, nộp, quản lý và sử dụng phí và lệ phí lãnh sự áp dụng tại các Cơ quan đại diện ngoại giao, Cơ quan đại diện lãnh sự Việt Nam ở nước ngoài như sau:</w:t>
      </w:r>
    </w:p>
    <w:p>
      <w:pPr>
        <w:jc w:val="both"/>
      </w:pPr>
      <w:r>
        <w:rPr>
          <w:b/>
        </w:rPr>
        <w:t>Điều 1. Mức thu</w:t>
      </w:r>
    </w:p>
    <w:p>
      <w:pPr>
        <w:jc w:val="both"/>
      </w:pPr>
      <w:r>
        <w:t>1. Sửa đổi, bổ sung mục III phần A Biểu mức thu phí và lệ phí lãnh sự ban hành kèm theo Thông tư số 236/2009/TT-BTC ngày 15/12/2009 của Bộ Tài chính như sau:</w:t>
      </w:r>
    </w:p>
    <w:p>
      <w:pPr>
        <w:jc w:val="both"/>
      </w:pPr>
      <w:r>
        <w:t>STT</w:t>
      </w:r>
    </w:p>
    <w:p>
      <w:pPr>
        <w:jc w:val="both"/>
      </w:pPr>
      <w:r>
        <w:t>Tên lệ phí</w:t>
      </w:r>
    </w:p>
    <w:p>
      <w:pPr>
        <w:jc w:val="both"/>
      </w:pPr>
      <w:r>
        <w:t>Đơn vị tính</w:t>
      </w:r>
    </w:p>
    <w:p>
      <w:pPr>
        <w:jc w:val="both"/>
      </w:pPr>
      <w:r>
        <w:t>Mức thu</w:t>
      </w:r>
    </w:p>
    <w:p>
      <w:pPr>
        <w:jc w:val="both"/>
      </w:pPr>
      <w:r>
        <w:t>III</w:t>
      </w:r>
    </w:p>
    <w:p>
      <w:pPr>
        <w:jc w:val="both"/>
      </w:pPr>
      <w:r>
        <w:t>Thị thực các loại</w:t>
      </w:r>
    </w:p>
    <w:p>
      <w:pPr>
        <w:jc w:val="both"/>
      </w:pPr>
      <w:r>
        <w:t>1</w:t>
      </w:r>
    </w:p>
    <w:p>
      <w:pPr>
        <w:jc w:val="both"/>
      </w:pPr>
      <w:r>
        <w:t>Loại có giá trị nhập cảnh, nhập xuất cảnh, quá cảnh 01 lần</w:t>
      </w:r>
    </w:p>
    <w:p>
      <w:pPr>
        <w:jc w:val="both"/>
      </w:pPr>
      <w:r>
        <w:t>Chiếc</w:t>
      </w:r>
    </w:p>
    <w:p>
      <w:pPr>
        <w:jc w:val="both"/>
      </w:pPr>
      <w:r>
        <w:t>45 USD</w:t>
      </w:r>
    </w:p>
    <w:p>
      <w:pPr>
        <w:jc w:val="both"/>
      </w:pPr>
      <w:r>
        <w:t>2</w:t>
      </w:r>
    </w:p>
    <w:p>
      <w:pPr>
        <w:jc w:val="both"/>
      </w:pPr>
      <w:r>
        <w:t>Loại có giá trị nhập xuất cảnh nhiều lần</w:t>
      </w:r>
    </w:p>
    <w:p>
      <w:pPr>
        <w:jc w:val="both"/>
      </w:pPr>
      <w:r>
        <w:t>a)</w:t>
      </w:r>
    </w:p>
    <w:p>
      <w:pPr>
        <w:jc w:val="both"/>
      </w:pPr>
      <w:r>
        <w:t>Loại có giá trị dưới 01 tháng</w:t>
      </w:r>
    </w:p>
    <w:p>
      <w:pPr>
        <w:jc w:val="both"/>
      </w:pPr>
      <w:r>
        <w:t>Chiếc</w:t>
      </w:r>
    </w:p>
    <w:p>
      <w:pPr>
        <w:jc w:val="both"/>
      </w:pPr>
      <w:r>
        <w:t>65 USD</w:t>
      </w:r>
    </w:p>
    <w:p>
      <w:pPr>
        <w:jc w:val="both"/>
      </w:pPr>
      <w:r>
        <w:t>b)</w:t>
      </w:r>
    </w:p>
    <w:p>
      <w:pPr>
        <w:jc w:val="both"/>
      </w:pPr>
      <w:r>
        <w:t>Loại có giá trị từ 01 tháng đến dưới 06 tháng</w:t>
      </w:r>
    </w:p>
    <w:p>
      <w:pPr>
        <w:jc w:val="both"/>
      </w:pPr>
      <w:r>
        <w:t>Chiếc</w:t>
      </w:r>
    </w:p>
    <w:p>
      <w:pPr>
        <w:jc w:val="both"/>
      </w:pPr>
      <w:r>
        <w:t>95 USD</w:t>
      </w:r>
    </w:p>
    <w:p>
      <w:pPr>
        <w:jc w:val="both"/>
      </w:pPr>
      <w:r>
        <w:t>c)</w:t>
      </w:r>
    </w:p>
    <w:p>
      <w:pPr>
        <w:jc w:val="both"/>
      </w:pPr>
      <w:r>
        <w:t>Loại có giá trị từ 06 tháng đến 01 năm</w:t>
      </w:r>
    </w:p>
    <w:p>
      <w:pPr>
        <w:jc w:val="both"/>
      </w:pPr>
      <w:r>
        <w:t>Chiếc</w:t>
      </w:r>
    </w:p>
    <w:p>
      <w:pPr>
        <w:jc w:val="both"/>
      </w:pPr>
      <w:r>
        <w:t>135 USD</w:t>
      </w:r>
    </w:p>
    <w:p>
      <w:pPr>
        <w:jc w:val="both"/>
      </w:pPr>
      <w:r>
        <w:t>3</w:t>
      </w:r>
    </w:p>
    <w:p>
      <w:pPr>
        <w:jc w:val="both"/>
      </w:pPr>
      <w:r>
        <w:t>Chuyển thị thực còn giá trị từ hộ chiếu cũ sang hộ chiếu mới</w:t>
      </w:r>
    </w:p>
    <w:p>
      <w:pPr>
        <w:jc w:val="both"/>
      </w:pPr>
      <w:r>
        <w:t>Chiếc</w:t>
      </w:r>
    </w:p>
    <w:p>
      <w:pPr>
        <w:jc w:val="both"/>
      </w:pPr>
      <w:r>
        <w:t>15 USD</w:t>
      </w:r>
    </w:p>
    <w:p>
      <w:pPr>
        <w:jc w:val="both"/>
      </w:pPr>
      <w:r>
        <w:t>4</w:t>
      </w:r>
    </w:p>
    <w:p>
      <w:pPr>
        <w:jc w:val="both"/>
      </w:pPr>
      <w:r>
        <w:t>Chuyển đổi thị thực</w:t>
      </w:r>
    </w:p>
    <w:p>
      <w:pPr>
        <w:jc w:val="both"/>
      </w:pPr>
      <w:r>
        <w:t>a)</w:t>
      </w:r>
    </w:p>
    <w:p>
      <w:pPr>
        <w:jc w:val="both"/>
      </w:pPr>
      <w:r>
        <w:t>Từ 01 lần thành nhiều lần, trong thời hạn thị thực gốc</w:t>
      </w:r>
    </w:p>
    <w:p>
      <w:pPr>
        <w:jc w:val="both"/>
      </w:pPr>
      <w:r>
        <w:t>- Có giá trị dưới 06 tháng</w:t>
      </w:r>
    </w:p>
    <w:p>
      <w:pPr>
        <w:jc w:val="both"/>
      </w:pPr>
      <w:r>
        <w:t>Chiếc</w:t>
      </w:r>
    </w:p>
    <w:p>
      <w:pPr>
        <w:jc w:val="both"/>
      </w:pPr>
      <w:r>
        <w:t>25 USD</w:t>
      </w:r>
    </w:p>
    <w:p>
      <w:pPr>
        <w:jc w:val="both"/>
      </w:pPr>
      <w:r>
        <w:t>- Có giá trị từ 06 tháng trở lên</w:t>
      </w:r>
    </w:p>
    <w:p>
      <w:pPr>
        <w:jc w:val="both"/>
      </w:pPr>
      <w:r>
        <w:t>Chiếc</w:t>
      </w:r>
    </w:p>
    <w:p>
      <w:pPr>
        <w:jc w:val="both"/>
      </w:pPr>
      <w:r>
        <w:t>75 USD</w:t>
      </w:r>
    </w:p>
    <w:p>
      <w:pPr>
        <w:jc w:val="both"/>
      </w:pPr>
      <w:r>
        <w:t>b)</w:t>
      </w:r>
    </w:p>
    <w:p>
      <w:pPr>
        <w:jc w:val="both"/>
      </w:pPr>
      <w:r>
        <w:t>Từ một lần thành nhiều lần, vượt quá thời hạn thị thực gốc</w:t>
      </w:r>
    </w:p>
    <w:p>
      <w:pPr>
        <w:jc w:val="both"/>
      </w:pPr>
      <w:r>
        <w:t>- Có giá trị dưới 06 tháng</w:t>
      </w:r>
    </w:p>
    <w:p>
      <w:pPr>
        <w:jc w:val="both"/>
      </w:pPr>
      <w:r>
        <w:t>Chiếc</w:t>
      </w:r>
    </w:p>
    <w:p>
      <w:pPr>
        <w:jc w:val="both"/>
      </w:pPr>
      <w:r>
        <w:t>50 USD</w:t>
      </w:r>
    </w:p>
    <w:p>
      <w:pPr>
        <w:jc w:val="both"/>
      </w:pPr>
      <w:r>
        <w:t>- Có giá trị từ 06 tháng trở lên</w:t>
      </w:r>
    </w:p>
    <w:p>
      <w:pPr>
        <w:jc w:val="both"/>
      </w:pPr>
      <w:r>
        <w:t>Chiếc</w:t>
      </w:r>
    </w:p>
    <w:p>
      <w:pPr>
        <w:jc w:val="both"/>
      </w:pPr>
      <w:r>
        <w:t>100 USD</w:t>
      </w:r>
    </w:p>
    <w:p>
      <w:pPr>
        <w:jc w:val="both"/>
      </w:pPr>
      <w:r>
        <w:t>5</w:t>
      </w:r>
    </w:p>
    <w:p>
      <w:pPr>
        <w:jc w:val="both"/>
      </w:pPr>
      <w:r>
        <w:t>Sửa đổi, bổ sung các nội dung khác đã ghi trong thị thực</w:t>
      </w:r>
    </w:p>
    <w:p>
      <w:pPr>
        <w:jc w:val="both"/>
      </w:pPr>
      <w:r>
        <w:t>Chiếc</w:t>
      </w:r>
    </w:p>
    <w:p>
      <w:pPr>
        <w:jc w:val="both"/>
      </w:pPr>
      <w:r>
        <w:t>10 USD</w:t>
      </w:r>
    </w:p>
    <w:p>
      <w:pPr>
        <w:jc w:val="both"/>
      </w:pPr>
      <w:r>
        <w:t>2. Sửa đổi khoản 1 Điều 6 Thông tư số 236/2009/TT-BTC ngày 15/12/2009 của Bộ Tài chính như sau:</w:t>
      </w:r>
    </w:p>
    <w:p>
      <w:pPr>
        <w:jc w:val="both"/>
      </w:pPr>
      <w:r>
        <w:t>a) Người đứng đầu Cơ quan đại diện Việt Nam ở nước ngoài có trách nhiệm xem xét, quyết định lựa chọn ngân hàng có uy tín để mở tài khoản của Cơ quan đại diện Việt Nam ở nước ngoài phục vụ hoạt động của Cơ quan đại diện, đảm bảo an toàn tiền gửi Quỹ tạm giữ ngân sách nhà nước tại Cơ quan đại diện Việt Nam ở nước ngoài.</w:t>
      </w:r>
    </w:p>
    <w:p>
      <w:pPr>
        <w:jc w:val="both"/>
      </w:pPr>
      <w:r>
        <w:t>b) Bộ Ngoại giao chỉ đạo các Cơ quan đại diện Việt Nam ở nước ngoài tổ chức thực hiện hạch toán kế toán khoản thu phí, lệ phí lãnh sự; khi phát sinh thu, nộp 70% (bảy mươi phần trăm) số tiền phí, lệ phí lãnh sự vào Quỹ tạm giữ ngân sách nhà nước tại Cơ quan đại diện Việt Nam ở nước ngoài.</w:t>
      </w:r>
    </w:p>
    <w:p>
      <w:pPr>
        <w:jc w:val="both"/>
      </w:pPr>
      <w:r>
        <w:t>c) Căn cứ dự toán chi ngân sách nhà nước được cấp có thẩm quyền giao hàng năm của khối Cơ quan đại diện Việt Nam ở nước ngoài; Bộ Ngoại giao có thể sử dụng Quỹ tạm giữ ngân sách nhà nước tại các Cơ quan đại diện Việt Nam ở nước ngoài để đảm bảo kinh phí hoạt động thường xuyên, mức tối đa không vượt quá dự toán chi ngân sách nhà nước được giao và kinh phí đầu tư xây dựng cơ bản cho các cơ quan đại diện Việt Nam ở nước ngoài sau khi làm thủ tục ghi thu, ghi chi ngân sách nhà nước.</w:t>
      </w:r>
    </w:p>
    <w:p>
      <w:pPr>
        <w:jc w:val="both"/>
      </w:pPr>
      <w:r>
        <w:t>d) Định kỳ vào tháng đầu của quý sau (riêng số phát sinh quý IV năm hiện hành, sẽ làm thủ tục ghi thu, ghi chi ngân sách nhà nước vào tháng đầu quý I năm sau – trong thời gian chỉnh lý quyết toán), Cơ quan đại diện Việt Nam ở nước ngoài có trách nhiệm nộp số phí, lệ phí lãnh sự (phần 70%) và số tiền lãi gửi ngân hàng thực phát sinh vào Quỹ tạm giữ ngân sách nhà nước. Số kinh phí thực rút từ Quỹ tạm giữ ngân sách nhà nước để chi tiêu, Kho bạc Nhà nước ghi thu, ghi chi ngân sách nhà nước tương ứng nhu cầu chi tiêu quý sau của Cơ quan đại diện Việt Nam ở nước ngoài.</w:t>
      </w:r>
    </w:p>
    <w:p>
      <w:pPr>
        <w:jc w:val="both"/>
      </w:pPr>
      <w:r>
        <w:t>e) Trường hợp số dư Quỹ tạm giữ ngân sách nhà nước tại Cơ quan đại diện Việt Nam ở nước ngoài thấp hơn nhu cầu chi tiêu, Bộ Ngoại giao chuyển kinh phí (phần chênh lệch) cho Cơ quan đại diện Việt Nam ở nước ngoài để đảm bảo kinh phí chi tiêu.</w:t>
      </w:r>
    </w:p>
    <w:p>
      <w:pPr>
        <w:jc w:val="both"/>
      </w:pPr>
      <w:r>
        <w:t>g) Trường hợp số dư Quỹ tạm giữ ngân sách nhà nước tại Cơ quan đại diện Việt Nam ở nước ngoài lớn hơn so với dự toán được giao của Cơ quan đại diện Việt Nam ở nước ngoài thì:</w:t>
      </w:r>
    </w:p>
    <w:p>
      <w:pPr>
        <w:jc w:val="both"/>
      </w:pPr>
      <w:r>
        <w:t>- Đối với các địa bàn khó khăn trong việc chuyển đổi ra ngoại tệ mạnh, phí chuyển tiền cao thì cho phép Cơ quan đại diện Việt Nam ở nước ngoài được để lại số dư Quỹ tạm giữ ngân sách nhà nước để đảm bảo kinh phí hoạt động cho thời gian sau.</w:t>
      </w:r>
    </w:p>
    <w:p>
      <w:pPr>
        <w:jc w:val="both"/>
      </w:pPr>
      <w:r>
        <w:t>Căn cứ tình hình thực tế của các địa bàn, Bộ Ngoại giao quy định danh mục các Cơ quan đại diện Việt Nam ở nước ngoài khó khăn trong việc chuyển đổi ra ngoại tệ mạnh, phí chuyển tiền cao thông báo đến các Cơ quan đại diện Việt Nam ở nước ngoài để thực hiện và Kho bạc Nhà nước để kiểm soát. Hàng năm, Bộ Ngoại giao có trách nhiệm rà soát để sửa đổi bổ sung danh mục này cho phù hợp với tình hình thực tế.</w:t>
      </w:r>
    </w:p>
    <w:p>
      <w:pPr>
        <w:jc w:val="both"/>
      </w:pPr>
      <w:r>
        <w:t>- Đối với các địa bàn thuận lợi trong việc chuyển đổi ngoại tệ, sau ngày 31 tháng 12 năm thực hiện và trước ngày 31 tháng 01 năm sau (thời gian chỉnh lý ngân sách hàng năm), khối Cơ quan đại diện Việt Nam ở nước ngoài thực hiện chuyển số tiền còn lại tại Quỹ tạm giữ ngân sách nhà nước không có nhu cầu sử dụng về nộp vào Quỹ ngoại tệ tập trung của ngân sách nhà nước mở tại Kho bạc Nhà nước để hạch toán thu vào ngân sách Nhà nước.</w:t>
      </w:r>
    </w:p>
    <w:p>
      <w:pPr>
        <w:jc w:val="both"/>
      </w:pPr>
      <w:r>
        <w:rPr>
          <w:b/>
        </w:rPr>
        <w:t>Điều 2. Tổ chức thực hiện</w:t>
      </w:r>
    </w:p>
    <w:p>
      <w:pPr>
        <w:jc w:val="both"/>
      </w:pPr>
      <w:r>
        <w:t>1. Thông tư này có hiệu lực kể từ ngày 03/02/2014. Thay thế Thông tư số 189/2012/TT-BTC ngày 09/11/2012 sửa đổi, bổ sung Thông tư số 236/2009/TT-BTC ngày 15/12/2009 của Bộ Tài chính hướng dẫn chế độ thu, nộp, quản lý và sử dụng phí và lệ phí lãnh sự áp dụng tại các Cơ quan đại diện ngoại giao, Cơ quan đại diện lãnh sự Việt Nam ở nước ngoài.</w:t>
      </w:r>
    </w:p>
    <w:p>
      <w:pPr>
        <w:jc w:val="both"/>
      </w:pPr>
      <w:r>
        <w:t>2. Các nội dung khác liên quan đến phí và lệ phí lãnh sự áp dụng tại các Cơ quan đại diện ngoại giao, Cơ quan đại diện lãnh sự Việt Nam ở nước ngoài không đề cập tại Thông tư này vẫn được thực hiện theo quy định tại Thông tư số 236/2009/TT-BTC ngày 15/12/2009 của Bộ Tài chính quy định chế độ thu, nộp, quản lý và sử dụng phí và lệ phí lãnh sự áp dụng tại các Cơ quan đại diện ngoại giao, Cơ quan đại diện lãnh sự Việt Nam.</w:t>
      </w:r>
    </w:p>
    <w:p>
      <w:pPr>
        <w:jc w:val="both"/>
      </w:pPr>
      <w:r>
        <w:t>3. Tổ chức, cá nhân thuộc đối tượng nộp phí,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Nơi nhận :</w:t>
      </w:r>
    </w:p>
    <w:p>
      <w:pPr>
        <w:jc w:val="both"/>
      </w:pPr>
      <w:r>
        <w:t>- Văn phòng Trung ương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w:t>
      </w:r>
    </w:p>
    <w:p>
      <w:pPr>
        <w:jc w:val="both"/>
      </w:pPr>
      <w:r>
        <w:t>cơ quan thuộc Chính phủ;</w:t>
      </w:r>
    </w:p>
    <w:p>
      <w:pPr>
        <w:jc w:val="both"/>
      </w:pPr>
      <w:r>
        <w:t>- Cơ quan Trung ương của các đoàn thể;</w:t>
      </w:r>
    </w:p>
    <w:p>
      <w:pPr>
        <w:jc w:val="both"/>
      </w:pPr>
      <w:r>
        <w:t>- Công báo;</w:t>
      </w:r>
    </w:p>
    <w:p>
      <w:pPr>
        <w:jc w:val="both"/>
      </w:pPr>
      <w:r>
        <w:t>- Cục kiểm tra văn bản (Bộ Tư pháp);</w:t>
      </w:r>
    </w:p>
    <w:p>
      <w:pPr>
        <w:jc w:val="both"/>
      </w:pPr>
      <w:r>
        <w:t>- Uỷ ban nhân dân, Sở Tài chính, Cục Thuế, Kho bạc nhà nước các tỉnh, thành phố trực thuộc Trung ương;</w:t>
      </w:r>
    </w:p>
    <w:p>
      <w:pPr>
        <w:jc w:val="both"/>
      </w:pPr>
      <w:r>
        <w:t>- Các đơn vị thuộc Bộ Tài chính;</w:t>
      </w:r>
    </w:p>
    <w:p>
      <w:pPr>
        <w:jc w:val="both"/>
      </w:pPr>
      <w:r>
        <w:t>- Website Chính phủ;</w:t>
      </w:r>
    </w:p>
    <w:p>
      <w:pPr>
        <w:jc w:val="both"/>
      </w:pPr>
      <w:r>
        <w:t>- Website Bộ Tài chính;</w:t>
      </w:r>
    </w:p>
    <w:p>
      <w:pPr>
        <w:jc w:val="both"/>
      </w:pPr>
      <w:r>
        <w:t>- Cục kiểm tra văn bản (Bộ Tư pháp);</w:t>
      </w:r>
    </w:p>
    <w:p>
      <w:pPr>
        <w:jc w:val="both"/>
      </w:pPr>
      <w:r>
        <w:t>- Lưu VT, CST (CST 5).</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legal.giangpham.asia/van-ban/82373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