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178/1999/QĐ-TTg</w:t>
      </w:r>
    </w:p>
    <w:p>
      <w:pPr>
        <w:jc w:val="both"/>
      </w:pPr>
      <w:r>
        <w:t>Hà Nội, ngày 30 tháng 8 năm 1999</w:t>
      </w:r>
    </w:p>
    <w:p>
      <w:pPr>
        <w:jc w:val="center"/>
      </w:pPr>
      <w:r>
        <w:rPr>
          <w:b/>
        </w:rPr>
        <w:t>QUYẾT ĐỊNH</w:t>
      </w:r>
    </w:p>
    <w:p>
      <w:pPr>
        <w:jc w:val="both"/>
      </w:pPr>
      <w:r>
        <w:t>Ban hành Quy chế Ghi nhãn hàng hóa lưu thông trong nước</w:t>
      </w:r>
    </w:p>
    <w:p>
      <w:pPr>
        <w:jc w:val="both"/>
      </w:pPr>
      <w:r>
        <w:t>và hàng hóa xuất khẩu, nhập khẩu</w:t>
      </w:r>
    </w:p>
    <w:p>
      <w:pPr>
        <w:jc w:val="both"/>
      </w:pPr>
      <w:r>
        <w:t>_________________________________</w:t>
      </w:r>
    </w:p>
    <w:p>
      <w:pPr>
        <w:jc w:val="both"/>
      </w:pPr>
      <w:r>
        <w:t>THỦ TƯỚNG CHÍNH PHỦ</w:t>
      </w:r>
    </w:p>
    <w:p>
      <w:pPr>
        <w:jc w:val="both"/>
      </w:pPr>
      <w:r>
        <w:t>Căn cứ Luật Tổ chức Chính phủ ngày 30 tháng 9 năm 1992;</w:t>
      </w:r>
    </w:p>
    <w:p>
      <w:pPr>
        <w:jc w:val="both"/>
      </w:pPr>
      <w:r>
        <w:t>Căn cứ Luật Thương mại ngày 10 tháng 5 năm 1997;</w:t>
      </w:r>
    </w:p>
    <w:p>
      <w:pPr>
        <w:jc w:val="both"/>
      </w:pPr>
      <w:r>
        <w:t>Xét đề nghị của Bộ trưởng Bộ Thương mại,</w:t>
      </w:r>
    </w:p>
    <w:p>
      <w:pPr>
        <w:jc w:val="center"/>
      </w:pPr>
      <w:r>
        <w:rPr>
          <w:b/>
        </w:rPr>
        <w:t>QUYẾT ĐỊNH:</w:t>
      </w:r>
    </w:p>
    <w:p>
      <w:pPr>
        <w:jc w:val="both"/>
      </w:pPr>
      <w:r>
        <w:rPr>
          <w:b/>
        </w:rPr>
        <w:t>Điều 1. Ban hành kèm theo Quyết định này Quy chế ghi nhãn hàng hóa lưu thông trong nước và hàng hóa xuất khẩu, nhập khẩu.</w:t>
      </w:r>
    </w:p>
    <w:p>
      <w:pPr>
        <w:jc w:val="both"/>
      </w:pPr>
      <w:r>
        <w:rPr>
          <w:b/>
        </w:rPr>
        <w:t>Điều 2. Quyết định này có hiệu lực sau 6 (sáu) tháng kể từ ngày ký. Các quy định trước đây trái với Quyết định này đều bãi bỏ.</w:t>
      </w:r>
    </w:p>
    <w:p>
      <w:pPr>
        <w:jc w:val="both"/>
      </w:pPr>
      <w:r>
        <w:rPr>
          <w:b/>
        </w:rPr>
        <w:t>Điều 3. Bộ trưởng Bộ Thương mại chịu trách nhiệm hướng dẫn thi hành Quyết định này.</w:t>
      </w:r>
    </w:p>
    <w:p>
      <w:pPr>
        <w:jc w:val="both"/>
      </w:pPr>
      <w:r>
        <w:t>Các Bộ trưởng, Thủ trưởng cơ quan ngang Bộ, Thủ trưởng cơ quan thuộc Chính phủ, Chủ tịch Uỷ ban nhân dân tỉnh, thành phố trực thuộc Trung ương chịu trách nhiệm tổ chức thi hành Quyết định này.</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legal.giangpham.asia/van-ban/6994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