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20/2015/TT-BTNMT</w:t>
      </w:r>
    </w:p>
    <w:p>
      <w:pPr>
        <w:jc w:val="both"/>
      </w:pPr>
      <w:r>
        <w:t>Hà Nội, ngày 27 tháng 4 năm 2015</w:t>
      </w:r>
    </w:p>
    <w:p>
      <w:pPr>
        <w:jc w:val="center"/>
      </w:pPr>
      <w:r>
        <w:rPr>
          <w:b/>
        </w:rPr>
        <w:t>THÔNG TƯ</w:t>
      </w:r>
    </w:p>
    <w:p>
      <w:pPr>
        <w:jc w:val="both"/>
      </w:pPr>
      <w:r>
        <w:t>Ban hành Đ ịnh mức kinh tế - kỹ thuật để lập dự toán ngân sách nhà nước phục vụ công tác định giá đấ t</w:t>
      </w:r>
    </w:p>
    <w:p>
      <w:pPr>
        <w:jc w:val="both"/>
      </w:pPr>
      <w:r>
        <w:t>_________________________</w:t>
      </w:r>
    </w:p>
    <w:p>
      <w:pPr>
        <w:jc w:val="both"/>
      </w:pPr>
      <w:r>
        <w:t>Căn cứ Luật Đất đai ngày 29 tháng 11 năm 2013;</w:t>
      </w:r>
    </w:p>
    <w:p>
      <w:pPr>
        <w:jc w:val="both"/>
      </w:pPr>
      <w:r>
        <w:t>Căn cứ Nghị định số 44/2014/NĐ-CP ngày 15 tháng 5 năm 2014 của Chính phủ quy định về giá đất;</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Theo đề nghị của Tổng cục trưởng Tổng cục Quản lý đất đai, Vụ trưởng Vụ Kế hoạch và Vụ trưởng Vụ Pháp chế;</w:t>
      </w:r>
    </w:p>
    <w:p>
      <w:pPr>
        <w:jc w:val="both"/>
      </w:pPr>
      <w:r>
        <w:t>Bộ trưởng Bộ Tài nguyên và Môi trường ban hành Thông tư Định mức kinh tế - kỹ thuật để lập dự toán ngân sách nhà nước phục vụ công tác định giá đất.</w:t>
      </w:r>
    </w:p>
    <w:p>
      <w:pPr>
        <w:jc w:val="both"/>
      </w:pPr>
      <w:r>
        <w:rPr>
          <w:b/>
        </w:rPr>
        <w:t>Điều 1. Phạm vi điều chỉnh</w:t>
      </w:r>
    </w:p>
    <w:p>
      <w:pPr>
        <w:jc w:val="both"/>
      </w:pPr>
      <w:r>
        <w:t>Ban hành kèm theo Thông tư này Định mức kinh tế - kỹ thuật để lập dự toán ngân sách nhà nước phục vụ công tác định giá đất theo các quy trình xây dựng, điều chỉnh bảng giá đất, định giá đất cụ thể quy định tại Thông tư số 36/2014/TT-BTNMT ngày 30 tháng 6 năm 2014 của Bộ trưởng Bộ Tài nguyên và Môi trường quy định chi tiết phương pháp định giá đất; xây dựng, điều chỉnh bảng giá đất; định giá đất cụ thể và tư vấn xác định giá đất.</w:t>
      </w:r>
    </w:p>
    <w:p>
      <w:pPr>
        <w:jc w:val="both"/>
      </w:pPr>
      <w:r>
        <w:rPr>
          <w:b/>
        </w:rPr>
        <w:t>Điều 2. Điều khoản chuyển tiếp</w:t>
      </w:r>
    </w:p>
    <w:p>
      <w:pPr>
        <w:jc w:val="both"/>
      </w:pPr>
      <w:r>
        <w:t>Kế hoạch định giá đất cụ thể đã được Ủy ban nhân dân tỉnh, thành phố trực thuộc Trung ương phê duyệt dự toán kinh phí trước ngày Thông tư này có hiệu lực thi hành thì thực hiện như sau:</w:t>
      </w:r>
    </w:p>
    <w:p>
      <w:pPr>
        <w:jc w:val="both"/>
      </w:pPr>
      <w:r>
        <w:t>1. Đối với khối lượng công việc đã thực hiện trước ngày Thông tư này có hiệu lực thi hành thì thực hiện theo kế hoạch định giá đất cụ thể đã được phê duyệt;</w:t>
      </w:r>
    </w:p>
    <w:p>
      <w:pPr>
        <w:jc w:val="both"/>
      </w:pPr>
      <w:r>
        <w:t>2. Đối với khối lượng công việc chưa triển khai thì thực hiện điều chỉnh dự toán kinh phí theo quy định của Thông tư này và trình Ủy ban nhân dân tỉnh, thành phố trực thuộc Trung ương phê duyệt.</w:t>
      </w:r>
    </w:p>
    <w:p>
      <w:pPr>
        <w:jc w:val="both"/>
      </w:pPr>
      <w:r>
        <w:rPr>
          <w:b/>
        </w:rPr>
        <w:t>Điều 3. Hiệu lực thi hành</w:t>
      </w:r>
    </w:p>
    <w:p>
      <w:pPr>
        <w:jc w:val="both"/>
      </w:pPr>
      <w:r>
        <w:t>1. Thông tư này có hiệu lực thi hành kể từ ngày 12 tháng 6 năm 2015.</w:t>
      </w:r>
    </w:p>
    <w:p>
      <w:pPr>
        <w:jc w:val="both"/>
      </w:pPr>
      <w:r>
        <w:t>2. Thông tư này thay thế Thông tư số 03/2010/TT-BTNMT ngày 01 tháng 02 năm 2010 của Bộ trưởng Bộ Tài nguyên và Môi trường về việc ban hành Định mức kinh tế-kỹ thuật xây dựng bảng giá đất.</w:t>
      </w:r>
    </w:p>
    <w:p>
      <w:pPr>
        <w:jc w:val="both"/>
      </w:pPr>
      <w:r>
        <w:rPr>
          <w:b/>
        </w:rPr>
        <w:t>Điều 4. Trách nhiệm thi hành</w:t>
      </w:r>
    </w:p>
    <w:p>
      <w:pPr>
        <w:jc w:val="both"/>
      </w:pPr>
      <w:r>
        <w:t>1. Bộ, cơ quan ngang Bộ, cơ quan thuộc Chính phủ, Ủy ban nhân dân các tỉnh, thành phố trực thuộc Trung ương, các đơn vị thuộc Bộ Tài nguyên và Môi trường và tổ chức, cá nhân có liên quan chịu trách nhiệm thi hành Thông tư này.</w:t>
      </w:r>
    </w:p>
    <w:p>
      <w:pPr>
        <w:jc w:val="both"/>
      </w:pPr>
      <w:r>
        <w:t>2. Tổng cục Quản lý đất đai có trách nhiệm kiểm tra việc thực hiện Thông tư này.</w:t>
      </w:r>
    </w:p>
    <w:p>
      <w:pPr>
        <w:jc w:val="both"/>
      </w:pPr>
      <w:r>
        <w:t>3. Sở Tài nguyên và Môi trường có trách nhiệm giúp Ủy ban nhân dân tỉnh, thành phố trực thuộc Trung ương triển khai thực hiện Thông tư này tại địa phương. Trong quá trình tổ chức thực hiện, nếu có khó khăn, vướng mắc thì các cơ quan, tổ chức, cá nhân phản ánh kịp thời về Bộ Tài nguyên và Môi trường để xem xét, giải quyết.</w:t>
      </w:r>
    </w:p>
    <w:p>
      <w:pPr>
        <w:jc w:val="both"/>
      </w:pPr>
      <w:r>
        <w:t>Trong quá trình tổ chức thực hiện, nếu có khó khăn, vướng mắc thì các cơ quan, tổ chức, cá nhân phản ánh kịp thời về Bộ Tài nguyên và Môi trường để xem xét, giải quyết./.</w:t>
      </w:r>
    </w:p>
    <w:p>
      <w:pPr>
        <w:jc w:val="both"/>
      </w:pPr>
      <w:r>
        <w:t>KT. BỘ TRƯỞNG</w:t>
      </w:r>
    </w:p>
    <w:p>
      <w:pPr>
        <w:jc w:val="both"/>
      </w:pPr>
      <w:r>
        <w:t>THỨ TRƯỞNG</w:t>
      </w:r>
    </w:p>
    <w:p>
      <w:pPr>
        <w:jc w:val="both"/>
      </w:pPr>
      <w:r>
        <w:t>(Đã ký)</w:t>
      </w:r>
    </w:p>
    <w:p>
      <w:pPr>
        <w:jc w:val="both"/>
      </w:pPr>
      <w:r>
        <w:t>Trần Hồng Hà</w:t>
      </w:r>
    </w:p>
    <w:p>
      <w:r>
        <w:rPr>
          <w:i/>
        </w:rPr>
        <w:t>Nguồn: Cơ sở dữ liệu quốc gia về văn bản pháp luật (Bộ Tư pháp). VietSmart Legal, legal.giangpham.asia/van-ban/67860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