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THANH TOÁN CHỨNG KHOÁN PHÁI SINH</w:t>
      </w:r>
    </w:p>
    <w:p>
      <w:pPr>
        <w:jc w:val="both"/>
      </w:pPr>
      <w:r>
        <w:rPr>
          <w:b/>
        </w:rPr>
        <w:t>Điều 18. Tổ chức hoạt động bù trừ, thanh toán chứng khoán phái sinh</w:t>
      </w:r>
    </w:p>
    <w:p>
      <w:pPr>
        <w:jc w:val="both"/>
      </w:pPr>
      <w:r>
        <w:t>1. Hoạt động bù trừ, thanh toán giao dịch chứng khoán phái sinh theo cơ chế đối tác bù trừ trung tâm chỉ được thực hiện thông qua Trung tâm Lưu ký chứng khoán Việt Nam, trong đó Trung tâm Lưu ký chứng khoán Việt Nam là một đối tác giao dịch, thành viên bù trừ là đối tác còn lại của giao dịch, kể cả giao dịch do bên thứ ba thực hiện.</w:t>
      </w:r>
    </w:p>
    <w:p>
      <w:pPr>
        <w:jc w:val="both"/>
      </w:pPr>
      <w:r>
        <w:t>2. Trung tâm Lưu ký chứng khoán Việt Nam thực hiện hoạt động bù trừ, thanh toán giao dịch các chứng khoán phái sinh quy định tại Khoản 1 Điều 6 Nghị định này theo nguyên tắc sau:</w:t>
      </w:r>
    </w:p>
    <w:p>
      <w:pPr>
        <w:jc w:val="both"/>
      </w:pPr>
      <w:r>
        <w:t>a) Hoạt động bù trừ, thanh toán giao dịch chứng khoán phái sinh niêm yết trên Sở giao dịch chứng khoán quy định tại Khoản 1 Điều 6 Nghị định này phải được thực hiện theo cơ chế đối tác bù trừ trung tâm thông qua Trung tâm Lưu ký Chứng khoán Việt Nam.</w:t>
      </w:r>
    </w:p>
    <w:p>
      <w:pPr>
        <w:jc w:val="both"/>
      </w:pPr>
      <w:r>
        <w:t>b) Hoạt động bù trừ, thanh toán theo cơ chế đối tác bù trừ trung tâm đối với giao dịch chứng khoán phái sinh không niêm yết quy định tại Khoản 1 Điều 6 Nghị định này được Trung tâm Lưu ký chứng khoán Việt Nam thực hiện trên cơ sở thỏa thuận với các bên tham gia giao dịch.</w:t>
      </w:r>
    </w:p>
    <w:p>
      <w:pPr>
        <w:jc w:val="both"/>
      </w:pPr>
      <w:r>
        <w:rPr>
          <w:b/>
        </w:rPr>
        <w:t>Điều 19. Quyền của Trung tâm Lưu ký chứng khoán Việt Nam đối với hoạt động bù trừ, thanh toán giao dịch chứng khoán phái sinh</w:t>
      </w:r>
    </w:p>
    <w:p>
      <w:pPr>
        <w:jc w:val="both"/>
      </w:pPr>
      <w:r>
        <w:t>1. Bù trừ, thanh toán giao dịch chứng khoán phái sinh quy định tại Khoản 1 Điều 6 Nghị định này; ban hành các quy chế nghiệp vụ sau khi được Ủy ban Chứng khoán Nhà nước chấp thuận.</w:t>
      </w:r>
    </w:p>
    <w:p>
      <w:pPr>
        <w:jc w:val="both"/>
      </w:pPr>
      <w:r>
        <w:t>2. Chấp thuận đăng ký, từ chối đăng ký, đình chỉ, chấm dứt tư cách thành viên bù trừ theo quy chế của Trung tâm Lưu ký chứng khoán Việt Nam hoặc theo yêu cầu của Ủy ban Chứng khoán Nhà nước.</w:t>
      </w:r>
    </w:p>
    <w:p>
      <w:pPr>
        <w:jc w:val="both"/>
      </w:pPr>
      <w:r>
        <w:t>Thành viên bù trừ bị đình chỉ, chấm dứt tư cách thành viên có nghĩa vụ thỏa thuận, xác lập thành viên bù trừ thay thế. Trường hợp không thể thực hiện được, Trung tâm Lưu ký chứng khoán Việt Nam có quyền chỉ định thành viên bù trừ thay thế tiếp nhận các quyền, nghĩa vụ của thành viên bù trừ bị đình chỉ, chấm dứt tư cách thành viên. Thành viên bù trừ bị đình chỉ hoặc chấm dứt tư cách thành viên có nghĩa vụ chuyển giao toàn bộ tài sản ký quỹ, vị thế mở của khách hàng, cung cấp mọi thông tin cần thiết về khách hàng cho thành viên bù trừ thay thế và tiếp tục thực hiện mọi nghĩa vụ của mình cho tới khi hoàn tất việc bàn giao quyền, nghĩa vụ cho thành viên bù trừ thay thế.</w:t>
      </w:r>
    </w:p>
    <w:p>
      <w:pPr>
        <w:jc w:val="both"/>
      </w:pPr>
      <w:r>
        <w:t>3. Quyền của Trung tâm Lưu ký chứng khoán Việt Nam đối với thành viên bù trừ:</w:t>
      </w:r>
    </w:p>
    <w:p>
      <w:pPr>
        <w:jc w:val="both"/>
      </w:pPr>
      <w:r>
        <w:t>a) Yêu cầu thành viên bù trừ ký quỹ và đóng góp vào quỹ bù trừ.</w:t>
      </w:r>
    </w:p>
    <w:p>
      <w:pPr>
        <w:jc w:val="both"/>
      </w:pPr>
      <w:r>
        <w:t>b) Yêu cầu thành viên bù trừ báo cáo đầy đủ, kịp thời, chi tiết về hoạt động giao dịch, tài khoản và tài sản ký quỹ của nhà đầu tư.</w:t>
      </w:r>
    </w:p>
    <w:p>
      <w:pPr>
        <w:jc w:val="both"/>
      </w:pPr>
      <w:r>
        <w:t>c) Xác định, điều chỉnh mức ký quỹ ban đầu tối thiểu, mức ký quỹ duy trì tối thiểu, danh mục tài sản được chấp nhận ký quỹ.</w:t>
      </w:r>
    </w:p>
    <w:p>
      <w:pPr>
        <w:jc w:val="both"/>
      </w:pPr>
      <w:r>
        <w:t>d) Xác định, điều chỉnh giới hạn vị thế đối với thành viên bù trừ, nhà đầu tư.</w:t>
      </w:r>
    </w:p>
    <w:p>
      <w:pPr>
        <w:jc w:val="both"/>
      </w:pPr>
      <w:r>
        <w:t>đ) Thực hiện các giao dịch đối ứng để đóng vị thế đứng tên thành viên bù trừ mất khả năng thanh toán hoặc phá sản.</w:t>
      </w:r>
    </w:p>
    <w:p>
      <w:pPr>
        <w:jc w:val="both"/>
      </w:pPr>
      <w:r>
        <w:t>4. Trong trường hợp cần thiết hoặc theo yêu cầu của Ủy ban Chứng khoán Nhà nước, Trung tâm Lưu ký chứng khoán Việt Nam được thực hiện các hoạt động dưới đây nhằm bảo vệ nhà đầu tư và an toàn của thị trường:</w:t>
      </w:r>
    </w:p>
    <w:p>
      <w:pPr>
        <w:jc w:val="both"/>
      </w:pPr>
      <w:r>
        <w:t>a) Trường hợp thành viên bù trừ mất khả năng thanh toán:</w:t>
      </w:r>
    </w:p>
    <w:p>
      <w:pPr>
        <w:jc w:val="both"/>
      </w:pPr>
      <w:r>
        <w:t>- Được đóng vị thế, thanh lý vị thế của chính thành viên bù trừ; được sử dụng, bán, chuyển giao tài sản ký quỹ của thành viên bù trừ để thực hiện các nghĩa vụ của thành viên bù trừ; được sử dụng khoản đóng góp vào quỹ bù trừ của thành viên bù trừ để bù đắp các thiệt hại tài chính (nêu có);</w:t>
      </w:r>
    </w:p>
    <w:p>
      <w:pPr>
        <w:jc w:val="both"/>
      </w:pPr>
      <w:r>
        <w:t>- Được chuyển tài sản ký quỹ và các vị thế mở của khách hàng tới thành viên bù trừ thay thế theo quy định tại Khoản 2 Điều này. Trường hợp không thể thực hiện được, Trung tâm Lưu ký chứng khoán Việt Nam được đóng vị thế, thanh lý vị thế; sử dụng, bán, chuyển giao tài sản của khách hàng mà thành viên bù trừ ký quỹ để thực hiện các nghĩa vụ của khách hàng hoặc bù đắp các thiệt hại tài chính phát sinh từ vị thế mở của khách hàng. Tài sản ký quỹ của khách hàng chỉ được sử dụng để thực hiện các nghĩa vụ tài chính phát sinh từ giao dịch chứng khoán phái sinh của khách hàng.</w:t>
      </w:r>
    </w:p>
    <w:p>
      <w:pPr>
        <w:jc w:val="both"/>
      </w:pPr>
      <w:r>
        <w:t>b) Trường hợp thành viên bù trừ bị phá sản: Trung tâm Lưu ký chứng khoán Việt Nam là chủ nợ đối với các khoản phải thu của thành viên bù trừ, được ưu tiên phân chia tài sản theo quy định pháp luật về phá sản. Trình tự, thủ tục tiếp nhận phân chia tài sản thực hiện theo quy định pháp luật liên quan.</w:t>
      </w:r>
    </w:p>
    <w:p>
      <w:pPr>
        <w:jc w:val="both"/>
      </w:pPr>
      <w:r>
        <w:t>c) Được yêu cầu các thành viên bù trừ khác thực hiện các giao dịch đối ứng để đóng vị thế đứng tên thành viên bù trừ mất khả năng thanh toán hoặc phá sản, không phân biệt đó là vị thế mở của thành viên bù trừ đó hay của nhà đầu tư.</w:t>
      </w:r>
    </w:p>
    <w:p>
      <w:pPr>
        <w:jc w:val="both"/>
      </w:pPr>
      <w:r>
        <w:t>5. Trung tâm Lưu ký chứng khoán Việt Nam được cung cấp dịch vụ quản lý tài khoản và tài sản ký quỹ cho thành viên bù trừ, thành viên không bù trừ, khách hàng của thành viên không bù trừ bảo đảm quản lý tách biệt tới tài khoản của từng khách hàng, tách biệt tới từng danh mục đầu tư của khách hàng.</w:t>
      </w:r>
    </w:p>
    <w:p>
      <w:pPr>
        <w:jc w:val="both"/>
      </w:pPr>
      <w:r>
        <w:t>6. Được yêu cầu Sở giao dịch chứng khoán, thành viên bù trừ cung cấp kịp thời, đầy đủ mọi thông tin về giao dịch của thành viên và của nhà đầu tư.</w:t>
      </w:r>
    </w:p>
    <w:p>
      <w:pPr>
        <w:jc w:val="both"/>
      </w:pPr>
      <w:r>
        <w:t>7. Thực hiện các quyền khác theo quy định tại Điều 45 Luật Chứng khoán và quy định pháp luật liên quan.</w:t>
      </w:r>
    </w:p>
    <w:p>
      <w:pPr>
        <w:jc w:val="both"/>
      </w:pPr>
      <w:r>
        <w:rPr>
          <w:b/>
        </w:rPr>
        <w:t>Điều 20. Nghĩa vụ của Trung tâm Lưu ký chứng khoán Việt Nam đối với hoạt động bù trừ, thanh toán giao dịch ch ứ ng khoán phái sinh</w:t>
      </w:r>
    </w:p>
    <w:p>
      <w:pPr>
        <w:jc w:val="both"/>
      </w:pPr>
      <w:r>
        <w:t>1. Bảo đảm hệ thống công nghệ thông tin, hạ tầng kỹ thuật phù hợp cho hoạt động bù trừ, thanh toán giao dịch chứng khoán phái sinh; tổ chức thực hiện và giám sát hoạt động bù trừ, thanh toán giao dịch chứng khoán phái sinh bảo đảm an toàn, hiệu quả, công bằng và khách quan.</w:t>
      </w:r>
    </w:p>
    <w:p>
      <w:pPr>
        <w:jc w:val="both"/>
      </w:pPr>
      <w:r>
        <w:t>2. Thiết lập và vận hành hệ thống quản trị rủi ro cho hoạt động bù trừ, thanh toán chứng khoán phái sinh. Xây dựng cơ chế bảo đảm thanh toán trong hoạt động thanh toán, bù trừ chứng khoán phái sinh.</w:t>
      </w:r>
    </w:p>
    <w:p>
      <w:pPr>
        <w:jc w:val="both"/>
      </w:pPr>
      <w:r>
        <w:t>3. Kiểm tra, giám sát việc duy trì điều kiện hoạt động, việc tuân thủ quy chế của Trung tâm Lưu ký chứng khoán Việt Nam và quy định pháp luật của các thành viên bù trừ; kịp thời báo cáo đầy đủ, chính xác về hoạt động bù trừ, thanh toán, giao dịch chứng khoán phái sinh, hoạt động của các thành viên bù trừ cho Ủy ban Chứng khoán Nhà nước theo quy định hoặc khi có yêu cầu hoặc khi phát hiện vi phạm.</w:t>
      </w:r>
    </w:p>
    <w:p>
      <w:pPr>
        <w:jc w:val="both"/>
      </w:pPr>
      <w:r>
        <w:t>4. Trong hoạt động thanh toán, quyết toán giao dịch chứng khoán phái sinh, Trung tâm Lưu ký chứng khoán Việt Nam chịu trách nhiệm thực hiện nghĩa vụ, cam kết của mình chỉ đối với thành viên bù trừ, không chịu trách nhiệm với bên thứ ba.</w:t>
      </w:r>
    </w:p>
    <w:p>
      <w:pPr>
        <w:jc w:val="both"/>
      </w:pPr>
      <w:r>
        <w:t>5. Thiết lập hệ thống bảo đảm quản lý tách biệt tài khoản, tài sản của thành viên bù trừ với tài khoản, tài sản của Trung tâm Lưu ký chứng khoán Việt Nam; tách biệt tài khoản, tài sản của từng thành viên bù trừ; tách biệt tài khoản, tài sản ký quỹ của thành viên bù trừ và các khách hàng của chính thành viên bù trừ đó.</w:t>
      </w:r>
    </w:p>
    <w:p>
      <w:pPr>
        <w:jc w:val="both"/>
      </w:pPr>
      <w:r>
        <w:t>6. Trích lập không quá 15% doanh thu hàng năm từ nghiệp vụ bù trừ, thanh toán chứng khoán phái sinh để lập quỹ dự phòng rủi ro thanh toán để bù đắp thiệt hại tài chính (nếu có). Khoản trích lập này được tính vào chi phí hoạt động của Trung tâm Lưu ký chứng khoán Việt Nam khi xác định thu nhập chịu thuế.</w:t>
      </w:r>
    </w:p>
    <w:p>
      <w:pPr>
        <w:jc w:val="both"/>
      </w:pPr>
      <w:r>
        <w:t>7. Quản lý và sử dụng quỹ bù trừ, quỹ dự phòng rủi ro thanh toán theo hướng dẫn của Bộ Tài chính.</w:t>
      </w:r>
    </w:p>
    <w:p>
      <w:pPr>
        <w:jc w:val="both"/>
      </w:pPr>
      <w:r>
        <w:t>8. Các nghĩa vụ khác quy định tại Điều 46 Luật Chứng khoán và quy định pháp luật liên quan.</w:t>
      </w:r>
    </w:p>
    <w:p>
      <w:pPr>
        <w:jc w:val="center"/>
      </w:pPr>
      <w:r>
        <w:rPr>
          <w:b/>
        </w:rPr>
        <w:t>Mục 2</w:t>
      </w:r>
    </w:p>
    <w:p>
      <w:pPr>
        <w:jc w:val="both"/>
      </w:pPr>
      <w:r>
        <w:t>THÀNH VIÊN BÙ TRỪ</w:t>
      </w:r>
    </w:p>
    <w:p>
      <w:pPr>
        <w:jc w:val="both"/>
      </w:pPr>
      <w:r>
        <w:rPr>
          <w:b/>
        </w:rPr>
        <w:t>Điều 21. Đăng ký thành vi ê n bù trừ</w:t>
      </w:r>
    </w:p>
    <w:p>
      <w:pPr>
        <w:jc w:val="both"/>
      </w:pPr>
      <w:r>
        <w:t>1. Điều kiện đăng ký thành viên bù trừ bao gồm:</w:t>
      </w:r>
    </w:p>
    <w:p>
      <w:pPr>
        <w:jc w:val="both"/>
      </w:pPr>
      <w:r>
        <w:t>a) Có Giấy chứng nhận đủ điều kiện cung cấp dịch vụ bù trừ, thanh toán giao dịch chứng khoán phái sinh do Ủy ban Chứng khoán Nhà nước cấp và đáp ứng quy định tại Điểm d Khoản 1 Điều 4 Nghị định này. Trường hợp là công ty chứng khoán thì phải đồng thời là thành viên giao dịch chứng khoán phái sinh của Sở giao dịch chứng khoán.</w:t>
      </w:r>
    </w:p>
    <w:p>
      <w:pPr>
        <w:jc w:val="both"/>
      </w:pPr>
      <w:r>
        <w:t>b) Đáp ứng yêu cầu của Trung tâm Lưu ký chứng khoán Việt Nam về hạ tầng công nghệ thông tin, quy trình nghiệp vụ và nhân sự cho hoạt động bù trừ, thanh toán chứng khoán phái sinh.</w:t>
      </w:r>
    </w:p>
    <w:p>
      <w:pPr>
        <w:jc w:val="both"/>
      </w:pPr>
      <w:r>
        <w:t>2. Trung tâm Lưu ký chứng khoán Việt Nam hướng dẫn hồ sơ, trình tự, thủ tục đăng ký làm thành viên bù trừ.</w:t>
      </w:r>
    </w:p>
    <w:p>
      <w:pPr>
        <w:jc w:val="both"/>
      </w:pPr>
      <w:r>
        <w:rPr>
          <w:b/>
        </w:rPr>
        <w:t>Điều 22. Quyền và nghĩa vụ của thành viên bù trừ</w:t>
      </w:r>
    </w:p>
    <w:p>
      <w:pPr>
        <w:jc w:val="both"/>
      </w:pPr>
      <w:r>
        <w:t>1. Quyền của thành viên bù trừ:</w:t>
      </w:r>
    </w:p>
    <w:p>
      <w:pPr>
        <w:jc w:val="both"/>
      </w:pPr>
      <w:r>
        <w:t>a) Thành viên bù trừ trực tiếp được thực hiện bù trừ, thanh toán giao dịch chứng khoán phái sinh của mình, giao dịch chứng khoán phái sinh của các khách hàng của mình. Thành viên bù trừ chung còn được cung cấp dịch vụ bù trừ, thanh toán giao dịch chứng khoán phái sinh của các nhà đầu tư khác, bao gồm giao dịch của thành viên không bù trừ và cả khách hàng của các thành viên đó.</w:t>
      </w:r>
    </w:p>
    <w:p>
      <w:pPr>
        <w:jc w:val="both"/>
      </w:pPr>
      <w:r>
        <w:t>b) Được yêu cầu nhà đầu tư đóng góp đầy đủ, kịp thời các khoản ký quỹ trước khi đặt lệnh và trong quá trình duy trì vị thế; được xác định các mức ký quỹ ban đầu, mức ký quỹ duy trì tùy thuộc vào tính chất, quy mô giao dịch của khách hàng, bảo đảm không thấp hơn mức ký quỹ ban đầu và ký quỹ duy trì tối thiểu theo quy định; được lựa chọn loại chứng khoán để ký quỹ trong danh mục tài sản được chấp nhận ký quỹ; được xác định phương thức và thời hạn ký quỹ, bổ sung ký quỹ, thay đổi chứng khoán ký quỹ, chuyển giao tài sản ký quỹ phù hợp với quy định pháp luật.</w:t>
      </w:r>
    </w:p>
    <w:p>
      <w:pPr>
        <w:jc w:val="both"/>
      </w:pPr>
      <w:r>
        <w:t>c) Trong trường hợp nhà đầu tư mất khả năng thanh toán, thành viên bù trừ có quyền:</w:t>
      </w:r>
    </w:p>
    <w:p>
      <w:pPr>
        <w:jc w:val="both"/>
      </w:pPr>
      <w:r>
        <w:t>- Yêu cầu nhà đầu tư thực hiện, hoặc thành viên bù trừ thực hiện việc đóng vị thế, thanh lý vị thế bắt buộc đối với các vị thế mở của nhà đầu tư;</w:t>
      </w:r>
    </w:p>
    <w:p>
      <w:pPr>
        <w:jc w:val="both"/>
      </w:pPr>
      <w:r>
        <w:t>- Được sử dụng, bán, chuyển giao tài sản ký quỹ của nhà đầu tư để mua hoặc làm tài sản bảo đảm cho các khoản vay để thực hiện các nghĩa vụ thanh toán đối với các vị thế mở của nhà đầu tư.</w:t>
      </w:r>
    </w:p>
    <w:p>
      <w:pPr>
        <w:jc w:val="both"/>
      </w:pPr>
      <w:r>
        <w:t>d) Được sử dụng tài sản ký quỹ của nhà đầu tư để thực hiện nghĩa vụ ký quỹ với Trung tâm Lưu ký chứng khoán Việt Nam cho vị thế của chính nhà đầu tư đó theo nguyên tắc quy định tại Khoản 2 Điều 25 Nghị định này; được sử dụng tài sản ký quỹ của nhà đầu tư để bảo đảm thanh toán, thực hiện thanh toán đối với các vị thế của nhà đầu tư mà mình đứng tên.</w:t>
      </w:r>
    </w:p>
    <w:p>
      <w:pPr>
        <w:jc w:val="both"/>
      </w:pPr>
      <w:r>
        <w:t>đ) Trường hợp thành viên bù trừ thực hiện nghĩa vụ hợp đồng thay thế cho thành viên bù trừ bị đình chỉ, chấm dứt tư cách thành viên quy định tại Khoản 2 Điều 19 Nghị định này, tài sản ký quỹ của nhà đầu tư cho thành viên bị đình chỉ, chấm dứt tư cách thành viên bù trừ phải được chuyển giao cho thành viên bù trừ thay thế để quản lý.</w:t>
      </w:r>
    </w:p>
    <w:p>
      <w:pPr>
        <w:jc w:val="both"/>
      </w:pPr>
      <w:r>
        <w:t>2. Nghĩa vụ của thành viên bù trừ:</w:t>
      </w:r>
    </w:p>
    <w:p>
      <w:pPr>
        <w:jc w:val="both"/>
      </w:pPr>
      <w:r>
        <w:t>a) Thành viên bù trừ là đại diện theo ủy quyền của khách hàng, thay mặt khách hàng chịu trách nhiệm thực hiện đầy đủ các nghĩa vụ của khách hàng đối với Trung tâm Lưu ký chứng khoán Việt Nam.</w:t>
      </w:r>
    </w:p>
    <w:p>
      <w:pPr>
        <w:jc w:val="both"/>
      </w:pPr>
      <w:r>
        <w:t>b) Ký quỹ đầy đủ, kịp thời cho Trung tâm Lưu ký chứng khoán Việt Nam đối với các vị thế mở của mình và của khách hàng; đóng góp vào Quỹ bù trừ và trích lập quỹ phòng ngừa rủi ro nghiệp vụ theo quy định tại Điều 24 Nghị định này. Thực hiện các biện pháp hỗ trợ tài chính, hỗ trợ nghiệp vụ theo hướng dẫn của Trung tâm Lưu ký chứng khoán Việt Nam trong trường hợp có thành viên bù trừ, nhà đầu tư bị mất khả năng thanh toán hoặc bị phá sản.</w:t>
      </w:r>
    </w:p>
    <w:p>
      <w:pPr>
        <w:jc w:val="both"/>
      </w:pPr>
      <w:r>
        <w:t>c) Thiết lập và duy trì hệ thống kiểm soát nội bộ, hệ thống và quy trình quản lý rủi ro trong từng nghiệp vụ, hoạt động kinh doanh; thiết lập và vận hành hệ thống tài khoản để quản lý tách biệt tài sản, vị thế giao dịch của từng nhà đầu tư và của nhà đầu tư với thành viên bù trừ.</w:t>
      </w:r>
    </w:p>
    <w:p>
      <w:pPr>
        <w:jc w:val="both"/>
      </w:pPr>
      <w:r>
        <w:t>d) Xác định lãi lỗ vị thế, tính toán mức ký quỹ ban đầu, mức ký quỹ bổ sung và giá trị tài sản ký quỹ cho từng tài khoản giao dịch của nhà đầu tư. Yêu cầu nhà đầu tư bổ sung ký quỹ kịp thời và đầy đủ trong trường hợp giá trị tài sản ký quỹ không đáp ứng mức ký quỹ duy trì; hoàn trả phần tài sản ký quỹ vượt mức ký quỹ ban đầu theo yêu cầu của nhà đầu tư; giám sát, quản lý vị thế và tài sản ký quỹ của nhà đầu tư bảo đảm tuân thủ quy định pháp luật.</w:t>
      </w:r>
    </w:p>
    <w:p>
      <w:pPr>
        <w:jc w:val="both"/>
      </w:pPr>
      <w:r>
        <w:t>đ) Bồi thường thiệt hại cho nhà đầu tư trong trường hợp không thực hiện nghĩa vụ theo quy định pháp luật và gây thiệt hại đến lợi ích hợp pháp của nhà đầu tư, mức bồi thường theo thỏa thuận với nhà đầu tư.</w:t>
      </w:r>
    </w:p>
    <w:p>
      <w:pPr>
        <w:jc w:val="both"/>
      </w:pPr>
      <w:r>
        <w:t>e) Cung cấp cho Trung tâm Lưu ký chứng khoán Việt Nam bản sao hợp đồng ủy thác bù trừ; lưu giữ đầy đủ các chứng từ gốc về bù trừ, thanh toán chứng khoán phái sinh; cung cấp đầy đủ, kịp thời, chính xác thông tin về vị thế mở của nhà đầu tư, tài sản ký quỹ của nhà đầu tư và các tài liệu liên quan tới hoạt động bù trừ, thanh toán theo yêu cầu của Trung tâm Lưu ký chứng khoán Việt Nam.</w:t>
      </w:r>
    </w:p>
    <w:p>
      <w:pPr>
        <w:jc w:val="both"/>
      </w:pPr>
      <w:r>
        <w:t>g) Thanh toán cho Trung tâm Lưu ký chứng khoán Việt Nam kịp thời, đầy đủ các khoản phí cung cấp dịch vụ và các chi phí khác theo quy định.</w:t>
      </w:r>
    </w:p>
    <w:p>
      <w:pPr>
        <w:jc w:val="both"/>
      </w:pPr>
      <w:r>
        <w:t>h) Thực hiện công bố thông tin và báo cáo theo quy định; định kỳ hoặc theo yêu cầu của nhà đầu tư cung cấp đầy đủ thông tin về các hoạt động trên tài khoản, số dư tài khoản ký quỹ, sao kê tài khoản ký quỹ cho nhà đầu tư.</w:t>
      </w:r>
    </w:p>
    <w:p>
      <w:pPr>
        <w:jc w:val="both"/>
      </w:pPr>
      <w:r>
        <w:t>3. Thực hiện các quyền và nghĩa vụ khác theo hướng dẫn của Bộ Tài chính.</w:t>
      </w:r>
    </w:p>
    <w:p>
      <w:pPr>
        <w:jc w:val="center"/>
      </w:pPr>
      <w:r>
        <w:rPr>
          <w:b/>
        </w:rPr>
        <w:t>Mục 3</w:t>
      </w:r>
    </w:p>
    <w:p>
      <w:pPr>
        <w:jc w:val="both"/>
      </w:pPr>
      <w:r>
        <w:t>BÙ TRỪ, THANH TOÁN CHỨNG KHOÁN PHÁI SINH</w:t>
      </w:r>
    </w:p>
    <w:p>
      <w:pPr>
        <w:jc w:val="both"/>
      </w:pPr>
      <w:r>
        <w:rPr>
          <w:b/>
        </w:rPr>
        <w:t>Điều 23. Nguyên tắc bù trừ, thanh toán giao dịch chứng khoán phái sinh</w:t>
      </w:r>
    </w:p>
    <w:p>
      <w:pPr>
        <w:jc w:val="both"/>
      </w:pPr>
      <w:r>
        <w:t>1. Trung tâm Lưu ký chứng khoán Việt Nam bảo đảm khả năng bù trừ, thanh toán giao dịch chứng khoán phái sinh của thành viên bù trừ thông qua các cơ chế bảo đảm thanh toán và phòng ngừa rủi ro quy định tại Điều 27, 28 Nghị định này.</w:t>
      </w:r>
    </w:p>
    <w:p>
      <w:pPr>
        <w:jc w:val="both"/>
      </w:pPr>
      <w:r>
        <w:t>2. Việc thanh toán, quyết toán giao dịch chứng khoán phái sinh bằng tiền giữa Trung tâm Lưu ký chứng khoán Việt Nam và các thành viên bù trừ được thực hiện dưới hình thức chuyển khoản thông qua ngân hàng thanh toán theo quy định pháp luật. Việc chuyển giao tài sản cơ sở là chứng khoán giao dịch trên Sở Giao dịch chứng khoán được thực hiện trên hệ thống tài khoản lưu ký tại Trung tâm Lưu ký chứng khoán Việt Nam.</w:t>
      </w:r>
    </w:p>
    <w:p>
      <w:pPr>
        <w:jc w:val="both"/>
      </w:pPr>
      <w:r>
        <w:rPr>
          <w:b/>
        </w:rPr>
        <w:t>Điều 24. Đóng góp vào quỹ bù trừ, trích lập quỹ phòng ngừa rủi ro nghiệp vụ của thành viên bù trừ</w:t>
      </w:r>
    </w:p>
    <w:p>
      <w:pPr>
        <w:jc w:val="both"/>
      </w:pPr>
      <w:r>
        <w:t>1. Thành viên bù trừ có trách nhiệm đóng góp vào quỹ bù trừ bằng tiền hoặc chứng khoán. Mức đóng góp, hình thức đóng góp, loại tài sản được sử dụng để đóng góp vào quỹ bù trừ thực hiện theo yêu cầu của Trung tâm Lưu ký chứng khoán Việt Nam phù hợp với quy định pháp luật.</w:t>
      </w:r>
    </w:p>
    <w:p>
      <w:pPr>
        <w:jc w:val="both"/>
      </w:pPr>
      <w:r>
        <w:t>2. Thành viên bù trừ có trách nhiệm trích lập quỹ phòng ngừa rủi ro nghiệp vụ để bù đắp các tổn thất cho nhà đầu tư do sự cố kỹ thuật, do sơ suất của nhân viên trong quá trình hoạt động. Quỹ phòng ngừa rủi ro nghiệp vụ được trích lập từ các khoản thu nghiệp vụ theo hướng dẫn của Bộ Tài chính.</w:t>
      </w:r>
    </w:p>
    <w:p>
      <w:pPr>
        <w:jc w:val="both"/>
      </w:pPr>
      <w:r>
        <w:rPr>
          <w:b/>
        </w:rPr>
        <w:t>Điều 25. Ký quỹ của thành viên bù trừ</w:t>
      </w:r>
    </w:p>
    <w:p>
      <w:pPr>
        <w:jc w:val="both"/>
      </w:pPr>
      <w:r>
        <w:t>1. Thành viên bù trừ phải ký quỹ đầy đủ và kịp thời trên tài khoản đứng tên của Trung tâm Lưu ký chứng khoán Việt Nam. Tài sản ký quỹ của thành viên bù trừ bao gồm tiền, chứng khoán được Trung tâm Lưu ký chứng khoán Việt Nam chấp nhận ký quỹ.</w:t>
      </w:r>
    </w:p>
    <w:p>
      <w:pPr>
        <w:jc w:val="both"/>
      </w:pPr>
      <w:r>
        <w:t>2. Việc ký quỹ của thành viên bù trừ được thực hiện đối với tất cả các vị thế mở đứng tên thành viên bù trừ, bao gồm vị thế mở của chính thành viên bù trừ và vị thế mở của nhà đầu tư, theo nguyên tắc sau:</w:t>
      </w:r>
    </w:p>
    <w:p>
      <w:pPr>
        <w:jc w:val="both"/>
      </w:pPr>
      <w:r>
        <w:t>a) Mức ký quỹ được Trung tâm Lưu ký chứng khoán Việt Nam tính toán cho vị thế mở trên từng tài khoản giao dịch của nhà đầu tư, thành viên bù trừ để xác định mức ký quỹ yêu cầu đối với từng thành viên bù trừ.</w:t>
      </w:r>
    </w:p>
    <w:p>
      <w:pPr>
        <w:jc w:val="both"/>
      </w:pPr>
      <w:r>
        <w:t>b) Tài sản mà nhà đầu tư ký quỹ với thành viên bù trừ theo quy định tại Khoản 1, 2, 3 Điều 26 Nghị định này được thành viên bù trừ sử dụng để ký quỹ cho vị thế của chính nhà đầu tư đó, không được sử dụng để ký quỹ cho nhà đầu tư khác hoặc cho vị thế của chính thành viên bù trừ.</w:t>
      </w:r>
    </w:p>
    <w:p>
      <w:pPr>
        <w:jc w:val="both"/>
      </w:pPr>
      <w:r>
        <w:t>3. Hàng ngày và trong các phiên giao dịch có giá chứng khoán biến động mạnh, Trung tâm Lưu ký chứng khoán Việt Nam tính toán lãi lỗ vị thế, xác định giá trị tài sản ký quỹ duy trì tối thiểu trên từng tài khoản, từng vị thế của nhà đầu tư đứng tên thành viên bù trừ và vị thế của chính thành viên bù trừ, xác định tổng giá trị tài sản ký quỹ duy trì tối thiểu mà thành viên bù trừ phải ký quỹ và giá trị tài sản ký quỹ bổ sung của thành viên bù trừ.</w:t>
      </w:r>
    </w:p>
    <w:p>
      <w:pPr>
        <w:jc w:val="both"/>
      </w:pPr>
      <w:r>
        <w:t>4. Theo yêu cầu của Trung tâm Lưu ký chứng khoán Việt Nam, thành viên bù trừ có trách nhiệm bổ sung ký quỹ trong trường hợp tổng giá trị tài sản ký quỹ của thành viên xuống thấp hơn mức ký quỹ duy trì theo yêu cầu của Trung tâm Lưu ký chứng khoán Việt Nam. Trường hợp thành viên bù trừ không bổ sung đầy đủ, kịp thời, Trung tâm Lưu ký chứng khoán Việt Nam có quyền đóng một phần, hoặc toàn bộ vị thế đứng tên thành viên bù trừ.</w:t>
      </w:r>
    </w:p>
    <w:p>
      <w:pPr>
        <w:jc w:val="both"/>
      </w:pPr>
      <w:r>
        <w:t>5. Trường hợp giá trị tài sản ký quỹ của thành viên lớn hơn mức ký quỹ theo yêu cầu của Trung tâm Lưu ký chứng khoán Việt Nam, thành viên bù trừ được rút bớt tài sản ký quỹ theo hướng dẫn của Trung tâm Lưu ký chứng khoán Việt Nam.</w:t>
      </w:r>
    </w:p>
    <w:p>
      <w:pPr>
        <w:jc w:val="both"/>
      </w:pPr>
      <w:r>
        <w:t>6. Mức ký quỹ ban đầu tối thiểu, mức ký quỹ duy trì tối thiểu, loại chứng khoán được chấp nhận ký quỹ, phương thức ký quỹ, thời hạn ký quỹ, bổ sung ký quỹ, thay đổi chứng khoán ký quỹ, chuyển giao tài sản ký quỹ, phương thức định giá tài sản ký quỹ, xác định lãi lỗ vị thế, hoạt động quản lý tài khoản và tài sản ký quỹ của nhà đầu tư và của thành viên bù trừ, thực hiện theo hướng dẫn của Bộ Tài chính.</w:t>
      </w:r>
    </w:p>
    <w:p>
      <w:pPr>
        <w:jc w:val="both"/>
      </w:pPr>
      <w:r>
        <w:rPr>
          <w:b/>
        </w:rPr>
        <w:t>Điều 26. Quản lý tài khoản, tài sản ký quỹ của nhà đầu tư</w:t>
      </w:r>
    </w:p>
    <w:p>
      <w:pPr>
        <w:jc w:val="both"/>
      </w:pPr>
      <w:r>
        <w:t>1. Nhà đầu tư phải ký quỹ đầy đủ và kịp thời cho thành viên bù trừ theo các điều khoản của hợp đồng mở tài khoản giao dịch chứng khoán phái sinh. Việc ký quỹ của nhà đầu tư được thực hiện bằng tiền, chứng khoán của chính nhà đầu tư. Chứng khoán ký quỹ phải là chứng khoán nằm trong danh mục tài sản được thành viên bù trừ chấp nhận ký quỹ.</w:t>
      </w:r>
    </w:p>
    <w:p>
      <w:pPr>
        <w:jc w:val="both"/>
      </w:pPr>
      <w:r>
        <w:t>2. Hàng ngày và trong các phiên giao dịch có giá chứng khoán biến động mạnh, thành viên bù trừ tính toán lãi lỗ vị thế, đánh giá lại giá trị tài sản ký quỹ, bảo đảm nhà đầu tư luôn duy trì ký quỹ theo thỏa thuận tại hợp đồng và phù hợp với quy định pháp luật.</w:t>
      </w:r>
    </w:p>
    <w:p>
      <w:pPr>
        <w:jc w:val="both"/>
      </w:pPr>
      <w:r>
        <w:t>3. Nhà đầu tư có trách nhiệm bổ sung ký quỹ theo yêu cầu của thành viên bù trừ trong trường hợp giá trị tài sản ký quỹ của nhà đầu tư xuống thấp hơn mức ký quỹ duy trì. Mức ký quỹ bổ sung và thời hạn bổ sung ký quỹ thực hiện theo hướng dẫn của thành viên bù trừ nhưng phải đảm bảo mức ký quỹ sau khi bổ sung không thấp hơn mức ký quỹ ban đầu. Trường hợp nhà đầu tư không bổ sung đầy đủ, kịp thời ký quỹ theo yêu cầu, thành viên bù trừ có quyền thực hiện các hoạt động theo quy định tại Điểm c Khoản 1 Điều 22 Nghị định này. Trường hợp giá trị tài sản ký quỹ của nhà đầu tư lớn hơn mức ký quỹ ban đầu theo yêu cầu của thành viên bù trừ, nhà đầu tư được rút bớt tài sản ký quỹ.</w:t>
      </w:r>
    </w:p>
    <w:p>
      <w:pPr>
        <w:jc w:val="both"/>
      </w:pPr>
      <w:r>
        <w:t>4. Thành viên bù trừ phải quản lý tách biệt tài khoản và tài sản ký quỹ tới từng nhà đầu tư; tách biệt với tài khoản và tài sản ký quỹ của chính mình, theo nguyên tắc sau:</w:t>
      </w:r>
    </w:p>
    <w:p>
      <w:pPr>
        <w:jc w:val="both"/>
      </w:pPr>
      <w:r>
        <w:t>a) Trường hợp tài sản ký quỹ là tiền, thành viên bù trừ phải mở tài khoản tiền gửi tại ngân hàng quản lý tài khoản, thiết lập hệ thống tài khoản và theo dõi số dư tiền tới từng nhà đầu tư. Thành viên bù trừ có trách nhiệm phối hợp với ngân hàng quản lý tài khoản và yêu cầu ngân hàng cung cấp kịp thời, đầy đủ, chính xác về số dư tiền trên tài khoản của nhà đầu tư.</w:t>
      </w:r>
    </w:p>
    <w:p>
      <w:pPr>
        <w:jc w:val="both"/>
      </w:pPr>
      <w:r>
        <w:t>b) Trường hợp tài sản ký quỹ là chứng khoán, thành viên bù trừ quản lý tài sản này ngay trên tài khoản lưu ký của nhà đầu tư tại Trung tâm Lưu ký chứng khoán Việt Nam.</w:t>
      </w:r>
    </w:p>
    <w:p>
      <w:pPr>
        <w:jc w:val="both"/>
      </w:pPr>
      <w:r>
        <w:t>5. Trường hợp thành viên bù trừ mất khả năng thanh toán theo quy định pháp luật về phá sản, tài sản ký quỹ của nhà đầu tư không phải là tài sản của thành viên bù trừ, và không được sử dụng để xử lý theo quy định pháp luật về phá sản, không được phân chia cho các chủ nợ của thành viên bù trừ hoặc phân chia cho các cổ đông, thành viên góp vốn của công ty dưới mọi hình thức. Tài sản này chỉ được sử dụng để thanh toán, bảo đảm thanh toán cho vị thế mở của nhà đầu tư. Phần tài sản còn lại sau khi đã hoàn tất nghĩa vụ thanh toán của nhà đầu tư thì phải được hoàn trả ngay cho nhà đầu tư.</w:t>
      </w:r>
    </w:p>
    <w:p>
      <w:pPr>
        <w:jc w:val="both"/>
      </w:pPr>
      <w:r>
        <w:rPr>
          <w:b/>
        </w:rPr>
        <w:t>Điều 27. Các biện pháp bảo đảm thanh toán</w:t>
      </w:r>
    </w:p>
    <w:p>
      <w:pPr>
        <w:jc w:val="both"/>
      </w:pPr>
      <w:r>
        <w:t>1. Trong trường hợp thành viên bù trừ, khách hàng của thành viên bù trừ mất khả năng thanh toán, Trung tâm Lưu ký chứng khoán Việt Nam được sử dụng các nguồn hỗ trợ dưới đây để bù đắp theo trình tự sau:</w:t>
      </w:r>
    </w:p>
    <w:p>
      <w:pPr>
        <w:jc w:val="both"/>
      </w:pPr>
      <w:r>
        <w:t>a) Ký quỹ của thành viên bù trừ, của khách hàng mất khả năng thanh toán.</w:t>
      </w:r>
    </w:p>
    <w:p>
      <w:pPr>
        <w:jc w:val="both"/>
      </w:pPr>
      <w:r>
        <w:t>b) Khoản đóng góp của thành viên bù trừ mất khả năng thanh toán trong Quỹ bù trừ tại Trung tâm Lưu ký chứng khoán Việt Nam.</w:t>
      </w:r>
    </w:p>
    <w:p>
      <w:pPr>
        <w:jc w:val="both"/>
      </w:pPr>
      <w:r>
        <w:t>c) Khoản đóng góp của thành viên bù trừ khác trong Quỹ bù trừ theo một tỷ lệ nhất định do Trung tâm Lưu ký chứng khoán Việt Nam xác định, sau khi được Ủy ban Chứng khoán Nhà nước chấp thuận.</w:t>
      </w:r>
    </w:p>
    <w:p>
      <w:pPr>
        <w:jc w:val="both"/>
      </w:pPr>
      <w:r>
        <w:t>d) Quỹ dự phòng rủi ro thanh toán của Trung tâm Lưu ký chứng khoán Việt Nam;</w:t>
      </w:r>
    </w:p>
    <w:p>
      <w:pPr>
        <w:jc w:val="both"/>
      </w:pPr>
      <w:r>
        <w:t>đ) Trường hợp tài sản quỹ dự phòng rủi ro thanh toán không đủ, Trung tâm Lưu ký chứng khoán Việt Nam được sử dụng các nguồn vốn hợp pháp của mình và hạch toán vào chi phí hoạt động của Trung tâm Lưu ký chứng khoán Việt Nam.</w:t>
      </w:r>
    </w:p>
    <w:p>
      <w:pPr>
        <w:jc w:val="both"/>
      </w:pPr>
      <w:r>
        <w:t>2. Bộ Tài chính hướng dẫn việc thiết lập và sử dụng các cơ chế bảo đảm thanh toán nêu tại Khoản 1 Điều này.</w:t>
      </w:r>
    </w:p>
    <w:p>
      <w:pPr>
        <w:jc w:val="both"/>
      </w:pPr>
      <w:r>
        <w:rPr>
          <w:b/>
        </w:rPr>
        <w:t>Điều 28. Cơ chế phòng ngừa rủi ro tại Trung tâm Lưu ký chứng khoán Việt Nam</w:t>
      </w:r>
    </w:p>
    <w:p>
      <w:pPr>
        <w:jc w:val="both"/>
      </w:pPr>
      <w:r>
        <w:t>1. Trung tâm Lưu ký chứng khoán Việt Nam được áp dụng các biện pháp sau để phòng ngừa rủi ro cho hệ thống thanh toán và bảo vệ nhà đầu tư:</w:t>
      </w:r>
    </w:p>
    <w:p>
      <w:pPr>
        <w:jc w:val="both"/>
      </w:pPr>
      <w:r>
        <w:t>a) Điều chỉnh các loại mức ký quỹ quy định.</w:t>
      </w:r>
    </w:p>
    <w:p>
      <w:pPr>
        <w:jc w:val="both"/>
      </w:pPr>
      <w:r>
        <w:t>b) Yêu cầu thành viên bù trừ đóng góp bổ sung vào Quỹ bù trừ.</w:t>
      </w:r>
    </w:p>
    <w:p>
      <w:pPr>
        <w:jc w:val="both"/>
      </w:pPr>
      <w:r>
        <w:t>c) Điều chỉnh giới hạn vị thế áp dụng cho thành viên bù trừ, nhà đầu tư.</w:t>
      </w:r>
    </w:p>
    <w:p>
      <w:pPr>
        <w:jc w:val="both"/>
      </w:pPr>
      <w:r>
        <w:t>d) Đóng một phần hoặc toàn bộ vị thế mở của nhà đầu tư, thành viên bù trừ mất khả năng thanh toán.</w:t>
      </w:r>
    </w:p>
    <w:p>
      <w:pPr>
        <w:jc w:val="both"/>
      </w:pPr>
      <w:r>
        <w:t>đ) Sử dụng Quỹ bù trừ và thực hiện các biện pháp khác theo quy định tại Khoản 3, 4 Điều 19 Nghị định này.</w:t>
      </w:r>
    </w:p>
    <w:p>
      <w:pPr>
        <w:jc w:val="both"/>
      </w:pPr>
      <w:r>
        <w:t>2. Các biện pháp phòng ngừa rủi ro quy định tại Khoản 1 Điều này phải được hướng dẫn tại quy chế do Trung tâm Lưu ký chứng khoán Việt Nam ban hành sau khi được Ủy ban Chứng khoán Nhà nước chấp thuận.</w:t>
      </w:r>
    </w:p>
    <w:p>
      <w:pPr>
        <w:jc w:val="both"/>
      </w:pPr>
      <w:r>
        <w:rPr>
          <w:b/>
        </w:rPr>
        <w:t>Điều 29. Phối hợp giữa Sở giao dịch chứng khoán và Trung tâm Lưu ký ch ứ ng khoán Việt Nam</w:t>
      </w:r>
    </w:p>
    <w:p>
      <w:pPr>
        <w:jc w:val="both"/>
      </w:pPr>
      <w:r>
        <w:t>Trong phạm vi hoạt động của mình, Sở giao dịch chứng khoán và Trung tâm Lưu ký chứng khoán Việt Nam phối hợp thực hiện:</w:t>
      </w:r>
    </w:p>
    <w:p>
      <w:pPr>
        <w:jc w:val="both"/>
      </w:pPr>
      <w:r>
        <w:t>1. Hướng dẫn các nội dung về chứng khoán phái sinh niêm yết trên Sở giao dịch chứng khoán theo quy định tại Khoản 1 Điều 6 Nghị định này.</w:t>
      </w:r>
    </w:p>
    <w:p>
      <w:pPr>
        <w:jc w:val="both"/>
      </w:pPr>
      <w:r>
        <w:t>2. Cấp mã số định danh cho nhà đầu tư, mã giao dịch, mã ISIN cho chứng khoán phái sinh.</w:t>
      </w:r>
    </w:p>
    <w:p>
      <w:pPr>
        <w:jc w:val="both"/>
      </w:pPr>
      <w:r>
        <w:t>3. Phối hợp xử lý trong trường hợp công ty chứng khoán, ngân hàng thương mại bị đình chỉ, chấm dứt tư cách thành viên giao dịch của Sở giao dịch chứng khoán hoặc bị đình chỉ, chấm dứt tư cách thành viên bù trừ tại Trung tâm Lưu ký chứng khoán Việt Nam.</w:t>
      </w:r>
    </w:p>
    <w:p>
      <w:pPr>
        <w:jc w:val="both"/>
      </w:pPr>
      <w:r>
        <w:t>4. Thiết lập, quản lý giới hạn vị thế.</w:t>
      </w:r>
    </w:p>
    <w:p>
      <w:pPr>
        <w:jc w:val="both"/>
      </w:pPr>
      <w:r>
        <w:t>5. Xác định các loại giá thanh toán.</w:t>
      </w:r>
    </w:p>
    <w:p>
      <w:pPr>
        <w:jc w:val="both"/>
      </w:pPr>
      <w:r>
        <w:t>6. Chia sẻ thông tin và thực hiện công tác giám sát.</w:t>
      </w:r>
    </w:p>
    <w:p>
      <w:pPr>
        <w:jc w:val="both"/>
      </w:pPr>
      <w:r>
        <w:t>7. Các hoạt động khác khi cần thiết.</w:t>
      </w:r>
    </w:p>
    <w:p>
      <w:pPr>
        <w:jc w:val="both"/>
      </w:pPr>
      <w:r>
        <w:t>Ch ương V</w:t>
      </w:r>
    </w:p>
    <w:p>
      <w:pPr>
        <w:jc w:val="both"/>
      </w:pPr>
      <w:r>
        <w:t>NGHĨA VỤ CÔNG BỐ THÔNG TIN, BÁO CÁO</w:t>
      </w:r>
    </w:p>
    <w:p>
      <w:pPr>
        <w:jc w:val="both"/>
      </w:pPr>
      <w:r>
        <w:rPr>
          <w:b/>
        </w:rPr>
        <w:t>Điều 30. Đối tượng công bố thông tin</w:t>
      </w:r>
    </w:p>
    <w:p>
      <w:pPr>
        <w:jc w:val="both"/>
      </w:pPr>
      <w:r>
        <w:t>Các tổ chức, cá nhân sau là đối tượng phải thực hiện công bố thông tin về chứng khoán phái sinh và thị trường chứng khoán phái sinh:</w:t>
      </w:r>
    </w:p>
    <w:p>
      <w:pPr>
        <w:jc w:val="both"/>
      </w:pPr>
      <w:r>
        <w:t>1. Sở giao dịch chứng khoán.</w:t>
      </w:r>
    </w:p>
    <w:p>
      <w:pPr>
        <w:jc w:val="both"/>
      </w:pPr>
      <w:r>
        <w:t>2. Trung tâm Lưu ký chứng khoán Việt Nam.</w:t>
      </w:r>
    </w:p>
    <w:p>
      <w:pPr>
        <w:jc w:val="both"/>
      </w:pPr>
      <w:r>
        <w:t>3. Tổ chức kinh doanh chứng khoán phái sinh.</w:t>
      </w:r>
    </w:p>
    <w:p>
      <w:pPr>
        <w:jc w:val="both"/>
      </w:pPr>
      <w:r>
        <w:t>4. Thành viên giao dịch, thành viên giao dịch đặc biệt, thành viên bù trừ, thành viên tạo lập thị trường.</w:t>
      </w:r>
    </w:p>
    <w:p>
      <w:pPr>
        <w:jc w:val="both"/>
      </w:pPr>
      <w:r>
        <w:t>5. Các tổ chức và cá nhân liên quan.</w:t>
      </w:r>
    </w:p>
    <w:p>
      <w:pPr>
        <w:jc w:val="both"/>
      </w:pPr>
      <w:r>
        <w:rPr>
          <w:b/>
        </w:rPr>
        <w:t>Điều 31. Yêu cầu thực hiện công bố thông tin</w:t>
      </w:r>
    </w:p>
    <w:p>
      <w:pPr>
        <w:jc w:val="both"/>
      </w:pPr>
      <w:r>
        <w:t>1. Việc công bố thông tin phải do người đại diện theo pháp luật của công ty hoặc người được ủy quyền công bố thông tin thực hiện. Thông tin công bố phải đầy đủ, chính xác, kịp thời theo quy định pháp luật.</w:t>
      </w:r>
    </w:p>
    <w:p>
      <w:pPr>
        <w:jc w:val="both"/>
      </w:pPr>
      <w:r>
        <w:t>2. Các tài liệu, báo cáo gửi cho Ủy ban Chứng khoán Nhà nước, Sở giao dịch chứng khoán, Trung tâm Lưu ký chứng khoán Việt Nam thực hiện dưới hình thức văn bản, dữ liệu điện tử theo hướng dẫn của Ủy ban Chứng khoán Nhà nước, Sở giao dịch chứng khoán, Trung tâm Lưu ký chứng khoán Việt Nam.</w:t>
      </w:r>
    </w:p>
    <w:p>
      <w:pPr>
        <w:jc w:val="both"/>
      </w:pPr>
      <w:r>
        <w:rPr>
          <w:b/>
        </w:rPr>
        <w:t>Điều 32. Yêu cầu về báo cáo</w:t>
      </w:r>
    </w:p>
    <w:p>
      <w:pPr>
        <w:jc w:val="both"/>
      </w:pPr>
      <w:r>
        <w:t>1. Sở giao dịch chứng khoán, Trung tâm Lưu ký chứng khoán Việt Nam, tổ chức kinh doanh chứng khoán phái sinh, thành viên giao dịch, thành viên giao dịch đặc biệt, thành viên bù trừ phải lưu giữ mọi chứng từ về giao dịch và hoạt động kinh doanh của mình.</w:t>
      </w:r>
    </w:p>
    <w:p>
      <w:pPr>
        <w:jc w:val="both"/>
      </w:pPr>
      <w:r>
        <w:t>2. Sở giao dịch chứng khoán, Trung tâm Lưu ký chứng khoán Việt Nam, tổ chức kinh doanh chứng khoán phái sinh, thành viên giao dịch, thành viên giao dịch đặc biệt, thành viên bù trừ thực hiện báo cáo giao dịch, báo cáo hoạt động bù trừ, thanh toán, báo cáo hoạt động kinh doanh chứng khoán phái sinh, định kỳ, bất thường hoặc theo yêu cầu của Ủy ban Chứng khoán Nhà nước.</w:t>
      </w:r>
    </w:p>
    <w:p>
      <w:pPr>
        <w:jc w:val="both"/>
      </w:pPr>
      <w:r>
        <w:t>3. Sở giao dịch chứng khoán, Trung tâm Lưu ký chứng khoán Việt Nam, tổ chức kinh doanh chứng khoán phái sinh, thành viên giao dịch, thành viên giao dịch đặc biệt, thành viên bù trừ có nghĩa vụ cung cấp kịp thời, đầy đủ, chính xác các thông tin, tài liệu, giải trình theo yêu cầu và chịu sự kiểm tra của Ủy ban Chứng khoán Nhà nước.</w:t>
      </w:r>
    </w:p>
    <w:p>
      <w:pPr>
        <w:jc w:val="both"/>
      </w:pPr>
      <w:r>
        <w:t>4. Thành viên giao dịch, thành viên giao dịch đặc biệt, thành viên bù trừ phải thực hiện báo cáo cho Sở giao dịch chứng khoán, Trung tâm Lưu ký chứng khoán Việt Nam theo quy chế của Sở giao dịch chứng khoán, Trung tâm Lưu ký chứng khoán Việt Nam.</w:t>
      </w:r>
    </w:p>
    <w:p>
      <w:pPr>
        <w:jc w:val="both"/>
      </w:pPr>
      <w:r>
        <w:t>5. Nội dung, thời hạn báo cáo, lưu giữ chứng từ quy định tại Khoản 1, 2, 3 Điều này thực hiện theo hướng dẫn của Bộ Tài chính.</w:t>
      </w:r>
    </w:p>
    <w:p>
      <w:pPr>
        <w:jc w:val="center"/>
      </w:pPr>
      <w:r>
        <w:rPr>
          <w:b/>
        </w:rPr>
        <w:t>Chương VI</w:t>
      </w:r>
    </w:p>
    <w:p>
      <w:pPr>
        <w:jc w:val="both"/>
      </w:pPr>
      <w:r>
        <w:t>QUẢN LÝ, GIÁM SÁT</w:t>
      </w:r>
    </w:p>
    <w:p>
      <w:pPr>
        <w:jc w:val="both"/>
      </w:pPr>
      <w:r>
        <w:rPr>
          <w:b/>
        </w:rPr>
        <w:t>Điều 33. Trách nhiệm và quyền hạn của Ủy ban Chứng khoán Nhà nước</w:t>
      </w:r>
    </w:p>
    <w:p>
      <w:pPr>
        <w:jc w:val="both"/>
      </w:pPr>
      <w:r>
        <w:t>1. Cấp, thu hồi Giấy chứng nhận đủ điều kiện kinh doanh chứng khoán phái sinh, Giấy chứng nhận đủ điều kiện cung cấp dịch vụ bù trừ, thanh toán chứng khoán phái sinh, chấp thuận, chấm dứt, đình chỉ hoạt động kinh doanh chứng khoán phái sinh và hoạt động cung cấp dịch vụ bù trừ, thanh toán chứng khoán phái sinh; ban hành các quy trình nghiệp vụ hướng dẫn về quản lý, giám sát hoạt động của thị trường chứng khoán phái sinh.</w:t>
      </w:r>
    </w:p>
    <w:p>
      <w:pPr>
        <w:jc w:val="both"/>
      </w:pPr>
      <w:r>
        <w:t>2. Giám sát việc tuân thủ các quy định pháp luật của các tổ chức, cá nhân tham gia thị trường nhằm phát hiện, ngăn ngừa các hành vi vi phạm quy định pháp luật về chứng khoán phái sinh, bảo vệ lợi ích của nhà đầu tư và duy trì trật tự thị trường.</w:t>
      </w:r>
    </w:p>
    <w:p>
      <w:pPr>
        <w:jc w:val="both"/>
      </w:pPr>
      <w:r>
        <w:t>3. Chủ trì, phối hợp với các tổ chức liên quan thực hiện kiểm tra, thanh tra và xử lý vi phạm đối với những tổ chức, cá nhân có dấu hiệu vi phạm hoặc vi phạm các quy định pháp luật về chứng khoán phái sinh theo thẩm quyền.</w:t>
      </w:r>
    </w:p>
    <w:p>
      <w:pPr>
        <w:jc w:val="both"/>
      </w:pPr>
      <w:r>
        <w:t>4. Chấp thuận cho Sở giao dịch chứng khoán, Trung tâm Lưu ký chứng khoán Việt Nam ban hành các quy chế nghiệp vụ; giám sát việc tổ chức thực hiện theo các quy chế đó và việc tuân thủ quy định pháp luật của Sở giao dịch chứng khoán, Trung tâm Lưu ký chứng khoán Việt Nam, tổ chức kinh doanh chứng khoán phái sinh, thành viên giao dịch, thành viên giao dịch đặc biệt, thành viên tạo lập thị trường, thành viên bù trừ.</w:t>
      </w:r>
    </w:p>
    <w:p>
      <w:pPr>
        <w:jc w:val="both"/>
      </w:pPr>
      <w:r>
        <w:t>5. Yêu cầu Sở giao dịch chứng khoán, Trung tâm Lưu ký chứng khoán Việt Nam, tổ chức kinh doanh chứng khoán phái sinh, thành viên giao dịch, thành viên giao dịch đặc biệt, thành viên tạo lập thị trường, thành viên bù trừ thực hiện chế độ báo cáo, công bố thông tin, thực hiện thống kê, tổng hợp, dữ liệu về hoạt động của thị trường. Yêu cầu các tổ chức này thực hiện các biện pháp phù hợp với quy định tại Nghị định này và văn bản hướng dẫn, bảo đảm lợi ích nhà đầu tư và an toàn của thị trường.</w:t>
      </w:r>
    </w:p>
    <w:p>
      <w:pPr>
        <w:jc w:val="both"/>
      </w:pPr>
      <w:r>
        <w:rPr>
          <w:b/>
        </w:rPr>
        <w:t>Điều 34. Hoạt động giám sát giao dịch chứng khoán phái sinh của Ủy ban Chứng khoán Nhà nước</w:t>
      </w:r>
    </w:p>
    <w:p>
      <w:pPr>
        <w:jc w:val="both"/>
      </w:pPr>
      <w:r>
        <w:t>1. Ủy ban Chứng khoán Nhà nước thực hiện hoạt động giám sát trên thị trường chứng khoán phái sinh bao gồm:</w:t>
      </w:r>
    </w:p>
    <w:p>
      <w:pPr>
        <w:jc w:val="both"/>
      </w:pPr>
      <w:r>
        <w:t>a) Giám sát giao dịch chứng khoán phái sinh.</w:t>
      </w:r>
    </w:p>
    <w:p>
      <w:pPr>
        <w:jc w:val="both"/>
      </w:pPr>
      <w:r>
        <w:t>b) Giám sát các hoạt động của Sở giao dịch chứng khoán, Trung tâm Lưu ký chứng khoán Việt Nam.</w:t>
      </w:r>
    </w:p>
    <w:p>
      <w:pPr>
        <w:jc w:val="both"/>
      </w:pPr>
      <w:r>
        <w:t>2. Bộ Tài chính hướng dẫn hoạt động giám sát giao dịch chứng khoán của Ủy ban Chứng khoán Nhà nước.</w:t>
      </w:r>
    </w:p>
    <w:p>
      <w:pPr>
        <w:jc w:val="both"/>
      </w:pPr>
      <w:r>
        <w:rPr>
          <w:b/>
        </w:rPr>
        <w:t>Điều 35. Hoạt động quản lý, giám sát của Ủy ban Ch ứ ng khoán Nhà nước đối với tổ chức kinh doanh chứng khoán phái sinh</w:t>
      </w:r>
    </w:p>
    <w:p>
      <w:pPr>
        <w:jc w:val="both"/>
      </w:pPr>
      <w:r>
        <w:t>1. Giám sát việc tuân thủ các quy định pháp luật về chứng khoán khi tổ chức kinh doanh chứng khoán, thành viên giao dịch, thành viên bù trừ cung cấp dịch vụ cho nhà đầu tư và tham gia giao dịch chứng khoán phái sinh.</w:t>
      </w:r>
    </w:p>
    <w:p>
      <w:pPr>
        <w:jc w:val="both"/>
      </w:pPr>
      <w:r>
        <w:t>2. Giám sát việc ban hành và tổ chức thực hiện các quy trình, quy chế, quy định nội bộ liên quan đến hoạt động quản lý rủi ro, kiểm soát nội bộ trong kinh doanh và cung cấp dịch vụ cho nhà đầu tư tại tổ chức kinh doanh chứng khoán phái sinh.</w:t>
      </w:r>
    </w:p>
    <w:p>
      <w:pPr>
        <w:jc w:val="both"/>
      </w:pPr>
      <w:r>
        <w:t>3. Giám sát việc duy trì các điều kiện hoạt động của thành viên giao dịch, thành viên bù trừ; việc tuân thủ các quy định về hạn chế hoạt động, bảo vệ quyền và lợi ích nhà đầu tư theo quy định tại Nghị định này và các quy định khác của pháp luật chứng khoán.</w:t>
      </w:r>
    </w:p>
    <w:p>
      <w:pPr>
        <w:jc w:val="both"/>
      </w:pPr>
      <w:r>
        <w:t>4. Giám sát việc quản lý tách bạch tài khoản, tài sản của nhà đầu tư và tài sản của tổ chức kinh doanh chứng khoán phái sinh theo quy định tại Nghị định này và các văn bản pháp luật liên quan.</w:t>
      </w:r>
    </w:p>
    <w:p>
      <w:pPr>
        <w:jc w:val="both"/>
      </w:pPr>
      <w:r>
        <w:t>5. Giám sát việc lưu trữ, quản lý dữ liệu giao dịch; tuân thủ nghĩa vụ báo cáo, công bố thông tin theo quy định.</w:t>
      </w:r>
    </w:p>
    <w:p>
      <w:pPr>
        <w:jc w:val="both"/>
      </w:pPr>
      <w:r>
        <w:rPr>
          <w:b/>
        </w:rPr>
        <w:t>Điều 36. Hoạt động giám sát giao dịch của Sở giao dịch chứng khoán</w:t>
      </w:r>
    </w:p>
    <w:p>
      <w:pPr>
        <w:jc w:val="both"/>
      </w:pPr>
      <w:r>
        <w:t>1. Sở giao dịch chứng khoán có trách nhiệm giám sát các hoạt động sau:</w:t>
      </w:r>
    </w:p>
    <w:p>
      <w:pPr>
        <w:jc w:val="both"/>
      </w:pPr>
      <w:r>
        <w:t>a) Giám sát các thành viên giao dịch, thành viên giao dịch đặc biệt, thành viên tạo lập thị trường trong việc tuân thủ các quy định pháp luật về chứng khoán và các quy định pháp luật liên quan.</w:t>
      </w:r>
    </w:p>
    <w:p>
      <w:pPr>
        <w:jc w:val="both"/>
      </w:pPr>
      <w:r>
        <w:t>b) Giám sát hoạt động giao dịch của tổ chức, cá nhân trên Sở giao dịch chứng khoán nhằm phát hiện, ngăn ngừa các giao dịch có dấu hiệu bất thường, các giao dịch có dấu hiệu vi phạm các quy định pháp luật về chứng khoán.</w:t>
      </w:r>
    </w:p>
    <w:p>
      <w:pPr>
        <w:jc w:val="both"/>
      </w:pPr>
      <w:r>
        <w:t>2. Sở giao dịch chứng khoán xây dựng và ban hành hệ thống tiêu chí giám sát giao dịch chứng khoán phái sinh sau khi được Ủy ban Chứng khoán Nhà nước chấp thuận.</w:t>
      </w:r>
    </w:p>
    <w:p>
      <w:pPr>
        <w:jc w:val="both"/>
      </w:pPr>
      <w:r>
        <w:rPr>
          <w:b/>
        </w:rPr>
        <w:t>Điều 37. Hoạt động giám sát của Trung tâm Lưu ký chứng khoán Việt Nam</w:t>
      </w:r>
    </w:p>
    <w:p>
      <w:pPr>
        <w:jc w:val="both"/>
      </w:pPr>
      <w:r>
        <w:t>1. Trung tâm Lưu ký chứng khoán Việt Nam có trách nhiệm giám sát các hoạt động sau:</w:t>
      </w:r>
    </w:p>
    <w:p>
      <w:pPr>
        <w:jc w:val="both"/>
      </w:pPr>
      <w:r>
        <w:t>a) Giám sát thành viên bù trừ trong việc tuân thủ các quy định pháp luật về chứng khoán và các quy định pháp luật liên quan khác; quản lý và giám sát việc duy trì các mức ký quỹ theo quy định.</w:t>
      </w:r>
    </w:p>
    <w:p>
      <w:pPr>
        <w:jc w:val="both"/>
      </w:pPr>
      <w:r>
        <w:t>b) Giám sát nhà đầu tư tuân thủ quy định về giới hạn vị thế của nhà đầu tư khi tham gia giao dịch chứng khoán phái sinh.</w:t>
      </w:r>
    </w:p>
    <w:p>
      <w:pPr>
        <w:jc w:val="both"/>
      </w:pPr>
      <w:r>
        <w:t>2. Trường hợp phát hiện dấu hiệu bất thường trong thanh toán giao dịch hoặc có dấu hiệu nhà đầu tư, thành viên bù trừ mất khả năng thanh toán, Trung tâm Lưu ký chứng khoán Việt Nam cảnh báo, yêu cầu thành viên bù trừ giải trình, cung cấp tài liệu và thông tin liên quan và kịp thời báo cáo Ủy ban Chứng khoán Nhà nước.</w:t>
      </w:r>
    </w:p>
    <w:p>
      <w:pPr>
        <w:jc w:val="both"/>
      </w:pPr>
      <w:r>
        <w:rPr>
          <w:b/>
        </w:rPr>
        <w:t>Điều 38. Hoạt động giám sát giao dịch của thành viên giao dịch, thành viên bù trừ</w:t>
      </w:r>
    </w:p>
    <w:p>
      <w:pPr>
        <w:jc w:val="both"/>
      </w:pPr>
      <w:r>
        <w:t>1. Phối hợp với Ủy ban Chứng khoán Nhà nước, Sở giao dịch chứng khoán, Trung tâm Lưu ký chứng khoán Việt Nam trong việc thực hiện công tác giám sát giao dịch chứng khoán phái sinh khi được yêu cầu.</w:t>
      </w:r>
    </w:p>
    <w:p>
      <w:pPr>
        <w:jc w:val="both"/>
      </w:pPr>
      <w:r>
        <w:t>2. Cung cấp kịp thời, đầy đủ và chính xác thông tin về nhà đầu tư và hoạt động giao dịch của nhà đầu tư theo quy định pháp luật.</w:t>
      </w:r>
    </w:p>
    <w:p>
      <w:pPr>
        <w:jc w:val="both"/>
      </w:pPr>
      <w:r>
        <w:t>3. Phối hợp với Ủy ban Chứng khoán Nhà nước trong việc mời nhà đầu tư đến làm việc với các đoàn kiểm tra của Ủy ban Chứng khoán Nhà nước, Sở giao dịch chứng khoán liên quan đến các giao dịch chứng khoán phái sinh có dấu hiệu bất thường. Trường hợp phát hiện giao dịch vi phạm các quy định về chứng khoán và thị trường chứng khoán có trách nhiệm báo cáo kịp thời cho Ủy ban Chứng khoán Nhà nước.</w:t>
      </w:r>
    </w:p>
    <w:p>
      <w:pPr>
        <w:jc w:val="both"/>
      </w:pPr>
      <w:r>
        <w:rPr>
          <w:b/>
        </w:rPr>
        <w:t>Điều 39. Nghĩa vụ cung cấp thông tin và giải trình theo yêu cầu</w:t>
      </w:r>
    </w:p>
    <w:p>
      <w:pPr>
        <w:jc w:val="both"/>
      </w:pPr>
      <w:r>
        <w:t>1. Tổ chức, cá nhân tham gia giao dịch chứng khoán phái sinh, cung cấp dịch vụ giao dịch, thanh toán giao dịch chứng khoán phái sinh có nghĩa vụ cung cấp kịp thời, đầy đủ, chính xác các thông tin, tài liệu, dữ liệu liên quan đến giao dịch chứng khoán phái sinh và giải trình các sự việc liên quan theo yêu cầu của Ủy ban Chứng khoán Nhà nước, Sở giao dịch chứng khoán, Trung tâm Lưu ký chứng khoán Việt Nam.</w:t>
      </w:r>
    </w:p>
    <w:p>
      <w:pPr>
        <w:jc w:val="both"/>
      </w:pPr>
      <w:r>
        <w:t>2. Trường hợp tổ chức, cá nhân tham gia giao dịch chứng khoán, cung cấp dịch vụ giao dịch chứng khoán không phối hợp, hợp tác với các cơ quan quy định tại Khoản 1 Điều này bị xử lý theo quy định pháp luật.</w:t>
      </w:r>
    </w:p>
    <w:p>
      <w:pPr>
        <w:jc w:val="both"/>
      </w:pPr>
      <w:r>
        <w:rPr>
          <w:b/>
        </w:rPr>
        <w:t>Điều 40. Quy trình phối hợp giữa các Bộ, ngành liên quan</w:t>
      </w:r>
    </w:p>
    <w:p>
      <w:pPr>
        <w:jc w:val="both"/>
      </w:pPr>
      <w:r>
        <w:t>Tùy theo yêu cầu phát triển thị trường chứng khoán phái sinh, Bộ Tài chính, Ủy ban Chứng khoán Nhà nước xây dựng cơ chế chia sẻ thông tin, phối hợp với các cơ quan có liên quan trong nước hoặc nước ngoài để thiết lập cơ chế quản lý, giám sát thị trường an toàn và ổn định.</w:t>
      </w:r>
    </w:p>
    <w:p>
      <w:pPr>
        <w:jc w:val="center"/>
      </w:pPr>
      <w:r>
        <w:rPr>
          <w:b/>
        </w:rPr>
        <w:t>Chương VII</w:t>
      </w:r>
    </w:p>
    <w:p>
      <w:pPr>
        <w:jc w:val="both"/>
      </w:pPr>
      <w:r>
        <w:t>THANH TRA, XỬ LÝ VI PHẠM, GIẢI QUYẾT TRANH CHẤP,</w:t>
      </w:r>
    </w:p>
    <w:p>
      <w:pPr>
        <w:jc w:val="both"/>
      </w:pPr>
      <w:r>
        <w:t>KHIẾU NẠI, TỐ CÁO VÀ BỒI THƯỜNG THIỆT HẠI</w:t>
      </w:r>
    </w:p>
    <w:p>
      <w:pPr>
        <w:jc w:val="both"/>
      </w:pPr>
      <w:r>
        <w:rPr>
          <w:b/>
        </w:rPr>
        <w:t>Điều 41. Giải quyết tranh chấp, khiếu nại, tố cáo, bồi thường thiệt hại</w:t>
      </w:r>
    </w:p>
    <w:p>
      <w:pPr>
        <w:jc w:val="both"/>
      </w:pPr>
      <w:r>
        <w:t>Việc giải quyết tranh chấp, bồi thường thiệt hại, khiếu nại, tố cáo, khởi kiện đối với hoạt động chứng khoán phái sinh và thị trường chứng khoán phái sinh được thực hiện theo các quy định từ Điều 131 tới Điều 133 Luật Chứng khoán và các quy định khác của pháp luật liên quan.</w:t>
      </w:r>
    </w:p>
    <w:p>
      <w:pPr>
        <w:jc w:val="both"/>
      </w:pPr>
      <w:r>
        <w:rPr>
          <w:b/>
        </w:rPr>
        <w:t>Điều 42. Thanh tra, xử lý vi phạm</w:t>
      </w:r>
    </w:p>
    <w:p>
      <w:pPr>
        <w:jc w:val="both"/>
      </w:pPr>
      <w:r>
        <w:t>1. Hoạt động thanh tra, xử lý vi phạm liên quan đến niêm yết, giao dịch, kinh doanh, đầu tư và dịch vụ về chứng khoán phái sinh và thị trường chứng khoán phái sinh được thực hiện theo các quy định từ Điều 108 đến Điều 130 Luật Chứng khoán, Nghị định số 108/2013/NĐ-CP ngày 23 tháng 9 năm 2013 của Chính phủ quy định xử phạt vi phạm hành chính trong lĩnh vực chứng khoán và thị trường chứng khoán và pháp luật về xử lý vi phạm hành chính.</w:t>
      </w:r>
    </w:p>
    <w:p>
      <w:pPr>
        <w:jc w:val="both"/>
      </w:pPr>
      <w:r>
        <w:t>2. Các hành vi vi phạm của thành viên giao dịch chứng khoán phái sinh được xử phạt thực hiện theo quy định tại Nghị định số 108/2013/NĐ-CP ngày 23 tháng 9 năm 2013 của Chính phủ quy định xử phạt vi phạm hành chính trong lĩnh vực chứng khoán và thị trường chứng khoán áp dụng cho công ty chứng khoán. Các hành vi vi phạm của thành viên bù trừ được xử phạt thực hiện theo quy định tại Nghị định số 108/2013/NĐ-CP ngày 23 tháng 9 năm 2013 của Chính phủ quy định xử phạt vi phạm hành chính trong lĩnh vực chứng khoán và thị trường chứng khoán áp dụng cho công ty chứng khoán, thành viên lưu ký và ngân hàng lưu ký.</w:t>
      </w:r>
    </w:p>
    <w:p>
      <w:pPr>
        <w:jc w:val="center"/>
      </w:pPr>
      <w:r>
        <w:rPr>
          <w:b/>
        </w:rPr>
        <w:t>Chương VIII</w:t>
      </w:r>
    </w:p>
    <w:p>
      <w:pPr>
        <w:jc w:val="both"/>
      </w:pPr>
      <w:r>
        <w:t>ĐIỀU KHOẢN THI HÀNH</w:t>
      </w:r>
    </w:p>
    <w:p>
      <w:pPr>
        <w:jc w:val="both"/>
      </w:pPr>
      <w:r>
        <w:rPr>
          <w:b/>
        </w:rPr>
        <w:t>Điều 43. Hiệu lực của Nghị định</w:t>
      </w:r>
    </w:p>
    <w:p>
      <w:pPr>
        <w:jc w:val="both"/>
      </w:pPr>
      <w:r>
        <w:t>1. Chứng khoán phái sinh giao dịch thỏa thuận quy định tại Khoản 1 Điều 6 Nghị định này đã giao kết trước thời điểm Nghị định này có hiệu lực được tiếp tục thực hiện theo hợp đồng giữa hai bên. Các giao dịch, hợp đồng về chứng khoán phái sinh giao kết sau thời điểm Nghị định này có hiệu lực thì thực hiện theo quy định tại Nghị định này.</w:t>
      </w:r>
    </w:p>
    <w:p>
      <w:pPr>
        <w:jc w:val="both"/>
      </w:pPr>
      <w:r>
        <w:t>2. Nghị định này có hiệu lực thi hành kể từ ngày 01 tháng 7 năm 2015.</w:t>
      </w:r>
    </w:p>
    <w:p>
      <w:pPr>
        <w:jc w:val="both"/>
      </w:pPr>
      <w:r>
        <w:rPr>
          <w:b/>
        </w:rPr>
        <w:t>Điều 44. Tổ chức thực hiện</w:t>
      </w:r>
    </w:p>
    <w:p>
      <w:pPr>
        <w:jc w:val="both"/>
      </w:pPr>
      <w:r>
        <w:t>1. Bộ Tài chính thực hiện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legal.giangpham.asia/van-ban/64237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