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11/2000/NĐ-CP</w:t>
      </w:r>
    </w:p>
    <w:p>
      <w:pPr>
        <w:jc w:val="both"/>
      </w:pPr>
      <w:r>
        <w:t>Hà Nội, ngày 03 tháng 5 năm 2000</w:t>
      </w:r>
    </w:p>
    <w:p>
      <w:pPr>
        <w:jc w:val="center"/>
      </w:pPr>
      <w:r>
        <w:rPr>
          <w:b/>
        </w:rPr>
        <w:t>NGHỊ ĐỊNH</w:t>
      </w:r>
    </w:p>
    <w:p>
      <w:pPr>
        <w:jc w:val="both"/>
      </w:pPr>
      <w:r>
        <w:t>Ban hành Quy chế Bảo đảm an ninh hàng không dân dụng</w:t>
      </w:r>
    </w:p>
    <w:p>
      <w:pPr>
        <w:jc w:val="both"/>
      </w:pPr>
      <w:r>
        <w:t>_________________________</w:t>
      </w:r>
    </w:p>
    <w:p>
      <w:pPr>
        <w:jc w:val="both"/>
      </w:pPr>
      <w:r>
        <w:t>CHÍNH PHỦ</w:t>
      </w:r>
    </w:p>
    <w:p>
      <w:pPr>
        <w:jc w:val="both"/>
      </w:pPr>
      <w:r>
        <w:t>Căn cứ Luật Tổ chức Chính phủ ngày 30 tháng 9 năm 1992;</w:t>
      </w:r>
    </w:p>
    <w:p>
      <w:pPr>
        <w:jc w:val="both"/>
      </w:pPr>
      <w:r>
        <w:t>Căn cứ Luật Hàng không dân dụng Việt Nam ngày 26 tháng 12 năm 1991 và Luật sửa đổi, bổ sung một số điều của Luật Hàng không dân dụng Việt Nam ngày 20 tháng 4 năm 1995;</w:t>
      </w:r>
    </w:p>
    <w:p>
      <w:pPr>
        <w:jc w:val="both"/>
      </w:pPr>
      <w:r>
        <w:t>Theo đề nghị của Cục trưởng Cục Hàng không dân dụng Việt Nam,</w:t>
      </w:r>
    </w:p>
    <w:p>
      <w:pPr>
        <w:jc w:val="center"/>
      </w:pPr>
      <w:r>
        <w:rPr>
          <w:b/>
        </w:rPr>
        <w:t>NGHỊ ĐỊNH:</w:t>
      </w:r>
    </w:p>
    <w:p>
      <w:pPr>
        <w:jc w:val="both"/>
      </w:pPr>
      <w:r>
        <w:rPr>
          <w:b/>
        </w:rPr>
        <w:t>Điều 1. Ban hành kèm theo Nghị định này Quy chế Bảo đảm an ninh hàng không dân dụng.</w:t>
      </w:r>
    </w:p>
    <w:p>
      <w:pPr>
        <w:jc w:val="both"/>
      </w:pPr>
      <w:r>
        <w:rPr>
          <w:b/>
        </w:rPr>
        <w:t>Điều 2. Nghị định này có hiệu lực sau 15 ngày kể từ ngày ký. Các quy định trước đây trái với Nghị định này đều bị bãi bỏ.</w:t>
      </w:r>
    </w:p>
    <w:p>
      <w:pPr>
        <w:jc w:val="both"/>
      </w:pPr>
      <w:r>
        <w:rPr>
          <w:b/>
        </w:rPr>
        <w:t>Điều 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legal.giangpham.asia/van-ban/6331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