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13/2013/TT-BKHCN</w:t>
      </w:r>
    </w:p>
    <w:p>
      <w:pPr>
        <w:jc w:val="both"/>
      </w:pPr>
      <w:r>
        <w:t>Ngày 12 tháng 4 năm 2013</w:t>
      </w:r>
    </w:p>
    <w:p>
      <w:pPr>
        <w:jc w:val="center"/>
      </w:pPr>
      <w:r>
        <w:rPr>
          <w:b/>
        </w:rPr>
        <w:t>THÔNG TƯ</w:t>
      </w:r>
    </w:p>
    <w:p>
      <w:pPr>
        <w:jc w:val="both"/>
      </w:pPr>
      <w:r>
        <w:t>Về việc sửa đổi, bổ sung một số điều của Thông tư số 21/2011/TT-BKHCN ,</w:t>
      </w:r>
    </w:p>
    <w:p>
      <w:pPr>
        <w:jc w:val="both"/>
      </w:pPr>
      <w:r>
        <w:t>Thông tư số 10/2012/TT-BKHCN và Thông tư số 11/2012/TT-BKHCN</w:t>
      </w:r>
    </w:p>
    <w:p>
      <w:pPr>
        <w:jc w:val="both"/>
      </w:pPr>
      <w:r>
        <w:t>của Bộ trưởng Bộ Khoa học và Công nghệ</w:t>
      </w:r>
    </w:p>
    <w:p>
      <w:pPr>
        <w:jc w:val="both"/>
      </w:pPr>
      <w:r>
        <w:t>_______________</w:t>
      </w:r>
    </w:p>
    <w:p>
      <w:pPr>
        <w:jc w:val="both"/>
      </w:pPr>
      <w:r>
        <w:t>Căn cứ Luật Tiêu chuẩn và Quy chuẩn kỹ thuật ngày 29 tháng 6 năm 2006;</w:t>
      </w:r>
    </w:p>
    <w:p>
      <w:pPr>
        <w:jc w:val="both"/>
      </w:pPr>
      <w:r>
        <w:t>Căn cứ Nghị định số 127/2007/NĐ-CP ngày 01 tháng 8 năm 2007 của Chính phủ quy định chi tiết thi hành một số điều của Luật Tiêu chuẩn và Quy chuẩn kỹ thuật;</w:t>
      </w:r>
    </w:p>
    <w:p>
      <w:pPr>
        <w:jc w:val="both"/>
      </w:pPr>
      <w:r>
        <w:t>Căn cứ Nghị định số 20/2013/NĐ-CP ngày 26 tháng 02 năm 2013 của Chính phủ quy định chức năng, nhiệm vụ, quyền hạn và cơ cấu tổ chức của Bộ Khoa học và Công nghệ;</w:t>
      </w:r>
    </w:p>
    <w:p>
      <w:pPr>
        <w:jc w:val="both"/>
      </w:pPr>
      <w:r>
        <w:t>Xét đề nghị của Tổng cục trưởng Tổng cục Tiêu chuẩn Đo lường Chất lượng,</w:t>
      </w:r>
    </w:p>
    <w:p>
      <w:pPr>
        <w:jc w:val="both"/>
      </w:pPr>
      <w:r>
        <w:t>Bộ trưởng Bộ Khoa học và Công nghệ ban hành Thông tư sửa đổi, bổ sung một số điều của Thông tư số 21/2011/TT-BKHCN ngày 22 tháng 9 năm 2011 của Bộ trưởng Bộ Khoa học và Công nghệ về việc ban hành “Quy chuẩn kỹ thuật quốc gia về thép làm cốt bê tông”, Thông tư số 10/2012/TT-BKHCN ngày 12 tháng 4 năm 2012 của Bộ trưởng Bộ Khoa học và Công nghệ về việc ban hành “Quy chuẩn kỹ thuật quốc gia về khí dầu mỏ hóa lỏng” và Thông tư số 11/2012/TT-BKHCN ngày 12 tháng 4 năm 2012 của Bộ trưởng Bộ Khoa học và Công nghệ về việc ban hành “Quy chuẩn kỹ thuật quốc gia về tương thích điện từ đối với thiết bị điện và điện tử gia dụng và các mục đích tương tự.</w:t>
      </w:r>
    </w:p>
    <w:p>
      <w:pPr>
        <w:jc w:val="both"/>
      </w:pPr>
      <w:r>
        <w:rPr>
          <w:b/>
        </w:rPr>
        <w:t>Điều 1. Sửa đổi, bổ sung Điều 3 của Thông tư số 21/2011/TT-BKHCN ngày 22 tháng 9 năm 2011 của Bộ trưởng Bộ Khoa học và Công nghệ về việc ban hành “Quy chuẩn kỹ thuật quốc gia về thép làm cốt bê tông (QCVN 7:2011/BKHCN)” như sau:</w:t>
      </w:r>
    </w:p>
    <w:p>
      <w:pPr>
        <w:jc w:val="both"/>
      </w:pPr>
      <w:r>
        <w:t>“Điều 3</w:t>
      </w:r>
    </w:p>
    <w:p>
      <w:pPr>
        <w:jc w:val="both"/>
      </w:pPr>
      <w:r>
        <w:t>1. Đối với thép làm cốt bê tông sản xuất trong nước và nhập khẩu:</w:t>
      </w:r>
    </w:p>
    <w:p>
      <w:pPr>
        <w:jc w:val="both"/>
      </w:pPr>
      <w:r>
        <w:t>a) Trường hợp đã áp dụng các quy định của QCVN 7:2011/BKHCN thì tiếp tục được áp dụng các quy định của QCVN 7:2011/BKHCN.</w:t>
      </w:r>
    </w:p>
    <w:p>
      <w:pPr>
        <w:jc w:val="both"/>
      </w:pPr>
      <w:r>
        <w:t>b) Trường hợp chưa áp dụng các quy định của QCVN 7:2011/BKHCN thì phải được áp dụng các quy định của QCVN 7:2011/BKHCN kể từ ngày 01 tháng 01 năm 2014.</w:t>
      </w:r>
    </w:p>
    <w:p>
      <w:pPr>
        <w:jc w:val="both"/>
      </w:pPr>
      <w:r>
        <w:t>Khuyến khích các doanh nghiệp sản xuất trong nước, nhập khẩu thép làm cốt bê tông áp dụng các quy định của QCVN 7:2011/BKHCN trước ngày 01 tháng 01 năm 2014.</w:t>
      </w:r>
    </w:p>
    <w:p>
      <w:pPr>
        <w:jc w:val="both"/>
      </w:pPr>
      <w:r>
        <w:t>2. Đối với thép làm cốt bê tông lưu thông trên thị trường:</w:t>
      </w:r>
    </w:p>
    <w:p>
      <w:pPr>
        <w:jc w:val="both"/>
      </w:pPr>
      <w:r>
        <w:t>Kể từ ngày 01 tháng 6 năm 2014, sản phẩm thép làm cốt bê tông lưu thông trên thị trường phải được áp dụng các quy định của QCVN 7:2011/BKHCN.”</w:t>
      </w:r>
    </w:p>
    <w:p>
      <w:pPr>
        <w:jc w:val="both"/>
      </w:pPr>
      <w:r>
        <w:rPr>
          <w:b/>
        </w:rPr>
        <w:t>Điều 2. Sửa đổi Điều 3 của Thông tư số 10/2012/TT-BKHCN ngày 12 tháng 4 năm 2012 của Bộ trưởng Bộ Khoa học và Công nghệ về việc ban hành “Quy chuẩn kỹ thuật quốc gia về khí dầu mỏ hóa lỏng (QCVN 8:2012/BKHCN)” như sau:</w:t>
      </w:r>
    </w:p>
    <w:p>
      <w:pPr>
        <w:jc w:val="both"/>
      </w:pPr>
      <w:r>
        <w:t>“Điều 3. Kể từ ngày 01 tháng 9 năm 2013, khí dầu mỏ hóa lỏng (LPG) chỉ được phép lưu thông trên thị trường sau khi đã được chứng nhận hợp quy, công bố hợp quy theo QCVN 8:2012/BKHCN.”.</w:t>
      </w:r>
    </w:p>
    <w:p>
      <w:pPr>
        <w:jc w:val="both"/>
      </w:pPr>
      <w:r>
        <w:rPr>
          <w:b/>
        </w:rPr>
        <w:t>Điều 3. Sửa đổi Điều 3 của Thông tư số 11/2012/TT-BKHCN ngày 12 tháng 4 năm 2012 của Bộ trưởng Bộ Khoa học và Công nghệ về việc ban hành “Quy chuẩn kỹ thuật quốc gia về tương thích điện từ đối với thiết bị điện và điện tử gia dụng và các mục đích tương tự (QCVN 9:2012/BKHCN)” như sau:</w:t>
      </w:r>
    </w:p>
    <w:p>
      <w:pPr>
        <w:jc w:val="both"/>
      </w:pPr>
      <w:r>
        <w:t>“Điều 3. Kể từ ngày 01 tháng 6 năm 2015, các thiết bị điện và điện tử từ số 1 đến số 2 của Phụ lục QCVN 9:2012/BKHCN phải áp dụng các quy định của quy chuẩn kỹ thuật quốc gia này.</w:t>
      </w:r>
    </w:p>
    <w:p>
      <w:pPr>
        <w:jc w:val="both"/>
      </w:pPr>
      <w:r>
        <w:t>Kể từ ngày 01 tháng 01 năm 2016, các thiết bị điện và điện tử từ số 3 đến số 7 của Phụ lục QCVN 9:2012/BKHCN phải áp dụng các quy định của quy chuẩn kỹ thuật quốc gia này.”.</w:t>
      </w:r>
    </w:p>
    <w:p>
      <w:pPr>
        <w:jc w:val="both"/>
      </w:pPr>
      <w:r>
        <w:rPr>
          <w:b/>
        </w:rPr>
        <w:t>Điều 4. Điều khoản thi hành</w:t>
      </w:r>
    </w:p>
    <w:p>
      <w:pPr>
        <w:jc w:val="both"/>
      </w:pPr>
      <w:r>
        <w:t>Thông tư này có hiệu lực thi hành kể từ ngày 01 tháng 6 năm 2013.</w:t>
      </w:r>
    </w:p>
    <w:p>
      <w:pPr>
        <w:jc w:val="both"/>
      </w:pPr>
      <w:r>
        <w:rPr>
          <w:b/>
        </w:rPr>
        <w:t>Điều 5. Trách nhiệm tổ chức thực hiện</w:t>
      </w:r>
    </w:p>
    <w:p>
      <w:pPr>
        <w:jc w:val="both"/>
      </w:pPr>
      <w:r>
        <w:t>1. Tổng cục trưởng Tổng cục Tiêu chuẩn Đo lường Chất lượng có trách nhiệm hướng dẫn, tổ chức triển khai thực hiện Thông tư này.</w:t>
      </w:r>
    </w:p>
    <w:p>
      <w:pPr>
        <w:jc w:val="both"/>
      </w:pPr>
      <w:r>
        <w:t>2. Thủ trưởng các cơ quan, tổ chức, doanh nghiệp và cá nhân có liên quan chịu trách nhiệm thi hành Thông tư này.</w:t>
      </w:r>
    </w:p>
    <w:p>
      <w:pPr>
        <w:jc w:val="both"/>
      </w:pPr>
      <w:r>
        <w:t>KT. BỘ TRƯỞNG</w:t>
      </w:r>
    </w:p>
    <w:p>
      <w:pPr>
        <w:jc w:val="both"/>
      </w:pPr>
      <w:r>
        <w:t>THỨ TRƯỞNG</w:t>
      </w:r>
    </w:p>
    <w:p>
      <w:pPr>
        <w:jc w:val="both"/>
      </w:pPr>
      <w:r>
        <w:t>(Đã ký)</w:t>
      </w:r>
    </w:p>
    <w:p>
      <w:pPr>
        <w:jc w:val="both"/>
      </w:pPr>
      <w:r>
        <w:t>Trần Việt Thanh</w:t>
      </w:r>
    </w:p>
    <w:p>
      <w:r>
        <w:rPr>
          <w:i/>
        </w:rPr>
        <w:t>Nguồn: Cơ sở dữ liệu quốc gia về văn bản pháp luật (Bộ Tư pháp). VietSmart Legal, legal.giangpham.asia/van-ban/59437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