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87/2014/TT-BGTVT</w:t>
      </w:r>
    </w:p>
    <w:p>
      <w:pPr>
        <w:jc w:val="both"/>
      </w:pPr>
      <w:r>
        <w:t>Hà Nội, ngày 31 tháng 12 năm 2014</w:t>
      </w:r>
    </w:p>
    <w:p>
      <w:pPr>
        <w:jc w:val="center"/>
      </w:pPr>
      <w:r>
        <w:rPr>
          <w:b/>
        </w:rPr>
        <w:t>THÔNG TƯ</w:t>
      </w:r>
    </w:p>
    <w:p>
      <w:pPr>
        <w:jc w:val="both"/>
      </w:pPr>
      <w:r>
        <w:t>Sửa đổi, bổ sung một số điều của Thông tư số 46/2012/TT-BGTVT</w:t>
      </w:r>
    </w:p>
    <w:p>
      <w:pPr>
        <w:jc w:val="both"/>
      </w:pPr>
      <w:r>
        <w:t>ngày 07 tháng 11 năm 2012 của Bộ trưởng Bộ Giao thông Vận tải</w:t>
      </w:r>
    </w:p>
    <w:p>
      <w:pPr>
        <w:jc w:val="both"/>
      </w:pPr>
      <w:r>
        <w:t>quy định về đào tạo, sát hạch, cấp giấy phép lái xe cơ giới đường bộ</w:t>
      </w:r>
    </w:p>
    <w:p>
      <w:pPr>
        <w:jc w:val="both"/>
      </w:pPr>
      <w:r>
        <w:t>_________________</w:t>
      </w:r>
    </w:p>
    <w:p>
      <w:pPr>
        <w:jc w:val="both"/>
      </w:pPr>
      <w:r>
        <w:t>Căn cứ Luật Giao thông đường bộ ngày 13 tháng 11 năm 2008;</w:t>
      </w:r>
    </w:p>
    <w:p>
      <w:pPr>
        <w:jc w:val="both"/>
      </w:pPr>
      <w:r>
        <w:t>Căn cứ Luật Dạy nghề ngày 29 tháng 11 năm 2006;</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Tổ chức cán bộ và Tổng cục trưởng Tổng cục Đường bộ Việt Nam,</w:t>
      </w:r>
    </w:p>
    <w:p>
      <w:pPr>
        <w:jc w:val="both"/>
      </w:pPr>
      <w:r>
        <w:t>Bộ trưởng Bộ Giao thông vận tải ban hành Thông tư sửa đổi, bổ sung một số điều của Thông tư số 46/2012/TT-BGTVT ngày 07 tháng 11 năm 2012 của Bộ trưởng Bộ Giao thông vận tải quy định về đào tạo, sát hạch, cấp giấy phép lái xe cơ giới đường bộ.</w:t>
      </w:r>
    </w:p>
    <w:p>
      <w:pPr>
        <w:jc w:val="both"/>
      </w:pPr>
      <w:r>
        <w:rPr>
          <w:b/>
        </w:rPr>
        <w:t>Điều 1. Sửa đổi, bổ sung khoản 3 Điều 54 của Thông tư số 46/2012/TT-BGTVT ngày 07 tháng 11 năm 2012 của Bộ trưởng Bộ Giao thông vận tải quy định về đào tạo, sát hạch, cấp giấy phép lái xe cơ giới đường bộ như sau:</w:t>
      </w:r>
    </w:p>
    <w:p>
      <w:pPr>
        <w:jc w:val="both"/>
      </w:pPr>
      <w:r>
        <w:t>"3. Giấy chứng nhận sức khỏe do cơ sở y tế có thẩm quyền cấp theo quy định, trừ trường hợp chuyển đổi giấy phép lái xe bằng giấy bìa sang giấy phép lái xe bằng vật liệu PET. đối với các đối tượng sau:</w:t>
      </w:r>
    </w:p>
    <w:p>
      <w:pPr>
        <w:jc w:val="both"/>
      </w:pPr>
      <w:r>
        <w:t>a) Người có giấy phép lái xe hạng A1, A2, A3;</w:t>
      </w:r>
    </w:p>
    <w:p>
      <w:pPr>
        <w:jc w:val="both"/>
      </w:pPr>
      <w:r>
        <w:t>b) Người có giấy phép lái xe hạng A4, giấy phép lái xe ô tô còn thời hạn sử dụng trên 03 (ba) tháng".</w:t>
      </w:r>
    </w:p>
    <w:p>
      <w:pPr>
        <w:jc w:val="both"/>
      </w:pPr>
      <w:r>
        <w:rPr>
          <w:b/>
        </w:rPr>
        <w:t>Điều 2. Hiệu lực thi hành</w:t>
      </w:r>
    </w:p>
    <w:p>
      <w:pPr>
        <w:jc w:val="both"/>
      </w:pPr>
      <w:r>
        <w:t>Thông tư này có hiệu lực kể từ ngày 15 tháng 02 năm 2015.</w:t>
      </w:r>
    </w:p>
    <w:p>
      <w:pPr>
        <w:jc w:val="both"/>
      </w:pPr>
      <w:r>
        <w:rPr>
          <w:b/>
        </w:rPr>
        <w:t>Điều 3. Tổ chức thực hiện</w:t>
      </w:r>
    </w:p>
    <w:p>
      <w:pPr>
        <w:jc w:val="both"/>
      </w:pPr>
      <w:r>
        <w:t>Chánh Văn phòng Bộ, Chánh Thanh tra Bộ, các Vụ trưởng,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pPr>
        <w:jc w:val="both"/>
      </w:pPr>
      <w:r>
        <w:t>BỘ TRƯỞNG</w:t>
      </w:r>
    </w:p>
    <w:p>
      <w:pPr>
        <w:jc w:val="both"/>
      </w:pPr>
      <w:r>
        <w:t>(Đã ký)</w:t>
      </w:r>
    </w:p>
    <w:p>
      <w:pPr>
        <w:jc w:val="both"/>
      </w:pPr>
      <w:r>
        <w:t>Đinh La Thăng</w:t>
      </w:r>
    </w:p>
    <w:p>
      <w:r>
        <w:rPr>
          <w:i/>
        </w:rPr>
        <w:t>Nguồn: Cơ sở dữ liệu quốc gia về văn bản pháp luật (Bộ Tư pháp). VietSmart Legal, legal.giangpham.asia/van-ban/57546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