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111/2012/TT-BTC</w:t>
      </w:r>
    </w:p>
    <w:p>
      <w:pPr>
        <w:jc w:val="both"/>
      </w:pPr>
      <w:r>
        <w:t>Hà Nội, ngày 04 tháng 7 năm 2012</w:t>
      </w:r>
    </w:p>
    <w:p>
      <w:pPr>
        <w:jc w:val="center"/>
      </w:pPr>
      <w:r>
        <w:rPr>
          <w:b/>
        </w:rPr>
        <w:t>THÔNG TƯ</w:t>
      </w:r>
    </w:p>
    <w:p>
      <w:pPr>
        <w:jc w:val="both"/>
      </w:pPr>
      <w:r>
        <w:t>Ban hành Danh mục hàng hoá và thuế suất thuế nhập khẩu để áp dụng hạn ngạch thuế quan</w:t>
      </w:r>
    </w:p>
    <w:p>
      <w:pPr>
        <w:jc w:val="both"/>
      </w:pPr>
      <w:r>
        <w:t>-------------------</w:t>
      </w:r>
    </w:p>
    <w:p>
      <w:pPr>
        <w:jc w:val="both"/>
      </w:pPr>
      <w:r>
        <w:t>Căn cứ Luật thuế xuất khẩu, thuế nhập khẩu số 45/2005/QH11 ngày 14/6/2005;</w:t>
      </w:r>
    </w:p>
    <w:p>
      <w:pPr>
        <w:jc w:val="both"/>
      </w:pPr>
      <w:r>
        <w:t>Căn cứ Nghị quyết số 295/2007/NQ-UBTVQH12 ngày 28/9/2007 của Ủy ban Thường vụ Quốc hội về việc ban hành Biểu thuế xuất khẩu theo danh mục nhóm hàng chịu thuế và khung thuế suất đối với từng nhóm hàng, Biểu thuế nhập khẩu ưu đãi theo danh mục nhóm hàng chịu thuế và khung thuế suất ưu đãi đối với từng nhóm hàng;</w:t>
      </w:r>
    </w:p>
    <w:p>
      <w:pPr>
        <w:jc w:val="both"/>
      </w:pPr>
      <w:r>
        <w:t>Căn cứ Nghị định số 87/2010/NĐ-CP ngày 13/8/2010 của Chính phủ quy định chi tiết thi hành một số điều của Luật thuế xuất khẩu, thuế nhập khẩu;</w:t>
      </w:r>
    </w:p>
    <w:p>
      <w:pPr>
        <w:jc w:val="both"/>
      </w:pPr>
      <w:r>
        <w:t>Căn cứ Nghị định số 12/2006/NĐ-CP ngày 23/1/2006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hướng dẫn thực hiện Danh mục hàng hoá và thuế suất thuế nhập khẩu để áp dụng hạn ngạch thuế quan đối với hàng hoá nhập khẩu.</w:t>
      </w:r>
    </w:p>
    <w:p>
      <w:pPr>
        <w:jc w:val="both"/>
      </w:pPr>
      <w:r>
        <w:rPr>
          <w:b/>
        </w:rPr>
        <w:t>Điều 1. Danh mục và thuế suất thuế nhập khẩu áp dụng hạn ngạch</w:t>
      </w:r>
    </w:p>
    <w:p>
      <w:pPr>
        <w:jc w:val="both"/>
      </w:pPr>
      <w:r>
        <w:t>Ban hành kèm theo Thông tư này Danh mục hàng hoá và thuế suất để áp dụng hạn ngạch thuế quan đối với hàng hoá nhập khẩu (không phân biệt xuất xứ của hàng hóa).</w:t>
      </w:r>
    </w:p>
    <w:p>
      <w:pPr>
        <w:jc w:val="both"/>
      </w:pPr>
      <w:r>
        <w:rPr>
          <w:b/>
        </w:rPr>
        <w:t>Điều 2. Lượng hạn ngạch và thuế suất áp dụng</w:t>
      </w:r>
    </w:p>
    <w:p>
      <w:pPr>
        <w:jc w:val="both"/>
      </w:pPr>
      <w:r>
        <w:t>1. Lượng hạn ngạch nhập khẩu hàng năm theo quy định của Bộ Công Thương.</w:t>
      </w:r>
    </w:p>
    <w:p>
      <w:pPr>
        <w:jc w:val="both"/>
      </w:pPr>
      <w:r>
        <w:t>2. Hàng hoá nhập khẩu ngoài số lượng hạn ngạch nhập khẩu hàng năm áp dụng thuế suất thuế nhập khẩu quy định tại Thông tư này.</w:t>
      </w:r>
    </w:p>
    <w:p>
      <w:pPr>
        <w:jc w:val="both"/>
      </w:pPr>
      <w:r>
        <w:t>3. Trường hợp theo Hiệp định khu vực thương mại tự do mà Việt Nam ký kết có cam kết thuế suất thuế nhập khẩu ngoài hạn ngạch đối với các mặt hàng có tên trong Danh mục hàng hóa quy định tại Thông tư này mà mức thuế suất nhập khẩu ưu đãi đặc biệt ngoài hạn ngạch cam kết thấp hơn mức thuế suất thuế nhập khẩu ngoài hạn ngạch quy định tại Thông tư này thì áp dụng mức thuế suất thuế nhập khẩu ưu đãi đặc biệt ngoài hạn ngạch (nếu thoả mãn các điều kiện để được hưởng thuế suất thuế nhập khẩu ưu đãi đặc biệt này) quy định tại các Hiệp định khu vực thương mại tự do. Trường hợp mức thuế suất thuế nhập khẩu ưu đãi đặc biệt ngoài hạn ngạch cao hơn mức thuế suất thuế nhập khẩu ngoài hạn ngạch quy định tại Thông tư này thì áp dụng mức thuế suất thuế nhập khẩu ngoài hạn ngạch quy định tại Thông tư này.</w:t>
      </w:r>
    </w:p>
    <w:p>
      <w:pPr>
        <w:jc w:val="both"/>
      </w:pPr>
      <w:r>
        <w:t>4. Hàng hoá nhập khẩu trong số lượng hạn ngạch nhập khẩu hàng năm áp dụng thuế suất thuế nhập khẩu quy định tại Biểu thuế nhập khẩu ưu đãi hiện hành hoặc áp dụng mức thuế suất thuế nhập khẩu ưu đãi đặc biệt mà Việt Nam có cam kết (nếu thoả mãn các điều kiện để được hưởng thuế suất thuế nhập khẩu ưu đãi đặc biệt này).</w:t>
      </w:r>
    </w:p>
    <w:p>
      <w:pPr>
        <w:jc w:val="both"/>
      </w:pPr>
      <w:r>
        <w:rPr>
          <w:b/>
        </w:rPr>
        <w:t>Điều 3. Hiệu lực thi hành</w:t>
      </w:r>
    </w:p>
    <w:p>
      <w:pPr>
        <w:jc w:val="both"/>
      </w:pPr>
      <w:r>
        <w:t>Thông tư này có hiệu lực từ ngày 18 tháng 8 năm 2012, thay thế Thông tư số 188/2009/TT-BTC ngày 29/9/2009 của Bộ Tài chính về việc ban hành Danh mục hàng hoá và thuế suất thuế nhập khẩu để áp dụng hạn ngạch thuế quan./.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legal.giangpham.asia/van-ban/46369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