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120/2014/NĐ-CP</w:t>
      </w:r>
    </w:p>
    <w:p>
      <w:pPr>
        <w:jc w:val="both"/>
      </w:pPr>
      <w:r>
        <w:t>Ngày 17 tháng 12 năm 2014</w:t>
      </w:r>
    </w:p>
    <w:p>
      <w:pPr>
        <w:jc w:val="center"/>
      </w:pPr>
      <w:r>
        <w:rPr>
          <w:b/>
        </w:rPr>
        <w:t>NGHỊ ĐỊNH</w:t>
      </w:r>
    </w:p>
    <w:p>
      <w:pPr>
        <w:jc w:val="both"/>
      </w:pPr>
      <w:r>
        <w:t>Sửa đổi, bổ sung một số điều của Nghị định số 133/2008/NĐ-CP ngày 31 tháng 12 năm 2008</w:t>
      </w:r>
    </w:p>
    <w:p>
      <w:pPr>
        <w:jc w:val="both"/>
      </w:pPr>
      <w:r>
        <w:t>quy định chi tiết và hướng dẫn thi hành một số điều của Luật Chuyển giao công nghệ</w:t>
      </w:r>
    </w:p>
    <w:p>
      <w:pPr>
        <w:jc w:val="both"/>
      </w:pPr>
      <w:r>
        <w:t>_____________________</w:t>
      </w:r>
    </w:p>
    <w:p>
      <w:pPr>
        <w:jc w:val="both"/>
      </w:pPr>
      <w:r>
        <w:t>Căn cứ Luật Tổ chức Chính phủ ngày 25 tháng 12 năm 2001;</w:t>
      </w:r>
    </w:p>
    <w:p>
      <w:pPr>
        <w:jc w:val="both"/>
      </w:pPr>
      <w:r>
        <w:t>Căn cứ Luật Chuyển giao công nghệ năm 2006;</w:t>
      </w:r>
    </w:p>
    <w:p>
      <w:pPr>
        <w:jc w:val="both"/>
      </w:pPr>
      <w:r>
        <w:t>Căn cứ Nghị quyết số 35/NQ-CP ngày 18 tháng 3 năm 2013 của Chính phủ về một số vấn đề cấp bách trong lĩnh vực bảo vệ môi trường;</w:t>
      </w:r>
    </w:p>
    <w:p>
      <w:pPr>
        <w:jc w:val="both"/>
      </w:pPr>
      <w:r>
        <w:t>Theo đề nghị của Bộ trưởng Bộ Khoa học và Công nghệ,</w:t>
      </w:r>
    </w:p>
    <w:p>
      <w:pPr>
        <w:jc w:val="both"/>
      </w:pPr>
      <w:r>
        <w:t>Chính phủ ban hành Nghị định sửa đổi, bổ sung một số điều của Nghị định số 133/2008/NĐ-CP ngày 31 tháng 12 năm 2008 quy định chi tiết và hướng dẫn thi hành một số điều của Luật Chuyển giao công nghệ.</w:t>
      </w:r>
    </w:p>
    <w:p>
      <w:pPr>
        <w:jc w:val="both"/>
      </w:pPr>
      <w:r>
        <w:rPr>
          <w:b/>
        </w:rPr>
        <w:t>Điều 1. Sửa đổi, bổ sung một số điều của Nghị định số 133/2008/NĐ-CP ngày 31 tháng 12 năm 2008 của Chính phủ</w:t>
      </w:r>
    </w:p>
    <w:p>
      <w:pPr>
        <w:jc w:val="both"/>
      </w:pPr>
      <w:r>
        <w:t>Sửa đổi, bổ sung khoản 1 Điều 5 nội dung sau:</w:t>
      </w:r>
    </w:p>
    <w:p>
      <w:pPr>
        <w:jc w:val="both"/>
      </w:pPr>
      <w:r>
        <w:t>- Ban hành kèm theo Nghị định này Danh mục công nghệ khuyến khích chuyển giao, Danh mục công nghệ hạn chế chuyển giao và Danh mục công nghệ cấm chuyển giao thay thế Danh mục công nghệ khuyến khích chuyển giao (Phụ lục I), Danh mục công nghệ hạn chế chuyển giao (Phụ lục II) và Danh mục công nghệ cấm chuyển giao (Phụ lục III) của Nghị định số 133/2008/NĐ-CP ngày 31 tháng 12 năm 2008 của Chính phủ quy định chi tiết và hướng dẫn thi hành một số điều của Luật Chuyển giao công nghệ.</w:t>
      </w:r>
    </w:p>
    <w:p>
      <w:pPr>
        <w:jc w:val="both"/>
      </w:pPr>
      <w:r>
        <w:t>- Việc nhập khẩu, chuyển giao và sử dụng công nghệ thuộc Danh mục công nghệ cấm chuyển giao phục vụ cho mục đích nghiên cứu khoa học và phát triển công nghệ đặc biệt do</w:t>
      </w:r>
    </w:p>
    <w:p>
      <w:pPr>
        <w:jc w:val="both"/>
      </w:pPr>
      <w:r>
        <w:rPr>
          <w:b/>
        </w:rPr>
        <w:t>Điều 2. Hiệu lực thi hành</w:t>
      </w:r>
    </w:p>
    <w:p>
      <w:pPr>
        <w:jc w:val="both"/>
      </w:pPr>
      <w:r>
        <w:t>Nghị định này có hiệu lực thi hành kể từ ngày 01 tháng 02 năm 2015. Khoản 1 Điều 5 và 03 Danh mục công nghệ nêu tại Phụ lục I, II và III của Nghị định số 133/2008/NĐ-CP ngày 31 tháng 12 năm 2008 bị bãi bỏ kể từ ngày Nghị định này có hiệu lực.</w:t>
      </w:r>
    </w:p>
    <w:p>
      <w:pPr>
        <w:jc w:val="both"/>
      </w:pPr>
      <w:r>
        <w:rPr>
          <w:b/>
        </w:rPr>
        <w:t>Điều 3. Trách nhiệm thi hành</w:t>
      </w:r>
    </w:p>
    <w:p>
      <w:pPr>
        <w:jc w:val="both"/>
      </w:pPr>
      <w:r>
        <w:t>Các Bộ trưởng, Thủ trưởng cơ quan ngang Bộ, Thủ trưởng cơ quan thuộc Chính phủ, Chủ tịch Ủy ban nhân dân tỉnh, thành phố trực thuộc Trung ương,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legal.giangpham.asia/van-ban/46221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