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43/2014/TT-BTC</w:t>
      </w:r>
    </w:p>
    <w:p>
      <w:pPr>
        <w:jc w:val="both"/>
      </w:pPr>
      <w:r>
        <w:t>Hà Nội, Ngày 11 tháng 4 năm 2014</w:t>
      </w:r>
    </w:p>
    <w:p>
      <w:pPr>
        <w:jc w:val="center"/>
      </w:pPr>
      <w:r>
        <w:rPr>
          <w:b/>
        </w:rPr>
        <w:t>THÔNG TƯ</w:t>
      </w:r>
    </w:p>
    <w:p>
      <w:pPr>
        <w:jc w:val="both"/>
      </w:pPr>
      <w:r>
        <w:t>Sửa đổi, bổ sung một số điều của Thông tư số 126/2008/TT-BTC ngày</w:t>
      </w:r>
    </w:p>
    <w:p>
      <w:pPr>
        <w:jc w:val="both"/>
      </w:pPr>
      <w:r>
        <w:t>22/12/2008 của Bộ Tài chính quy định Quy tắc, điều khoản, biểu phí và</w:t>
      </w:r>
    </w:p>
    <w:p>
      <w:pPr>
        <w:jc w:val="both"/>
      </w:pPr>
      <w:r>
        <w:t>mức trách nhiệm bảo hiểm bắt buộc trách nhiệm dân sự của chủ xe cơ giới,</w:t>
      </w:r>
    </w:p>
    <w:p>
      <w:pPr>
        <w:jc w:val="both"/>
      </w:pPr>
      <w:r>
        <w:t>Thông tư số 103/2009/TT-BTC ngày 25/5/2009 của Bộ Tài chính quy định</w:t>
      </w:r>
    </w:p>
    <w:p>
      <w:pPr>
        <w:jc w:val="both"/>
      </w:pPr>
      <w:r>
        <w:t>việc quản lý, sử dụng, thanh toán và quyết toán Quỹ bảo hiểm xe cơ giới và</w:t>
      </w:r>
    </w:p>
    <w:p>
      <w:pPr>
        <w:jc w:val="both"/>
      </w:pPr>
      <w:r>
        <w:t>Thông tư số 151/2012/TT-BTC ngày 12/9/2012 sửa đổi, bổ sung Thông tư</w:t>
      </w:r>
    </w:p>
    <w:p>
      <w:pPr>
        <w:jc w:val="both"/>
      </w:pPr>
      <w:r>
        <w:t>số 126/2008/TT-BTC và Thông tư số 103/2009/TT-BTC</w:t>
      </w:r>
    </w:p>
    <w:p>
      <w:pPr>
        <w:jc w:val="both"/>
      </w:pPr>
      <w:r>
        <w:t>__________________</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103/2008/NĐ-CP ngày 16 tháng 9 năm 2008 của Chính phủ về bảo hiểm bắt buộc trách nhiệm dân sự của chủ xe cơ giới;</w:t>
      </w:r>
    </w:p>
    <w:p>
      <w:pPr>
        <w:jc w:val="both"/>
      </w:pPr>
      <w:r>
        <w:t>Căn cứ Nghị định số 214/2013/NĐ-CP ngày 20 tháng 12 năm 2013 của Chính phủ sửa đổi, bổ sung một số điều của Nghị định số 103/2008/NĐ-CP ngày 16 tháng 9 năm 2008 của Chính phủ về bảo hiểm bắt buộc trách nhiệm dân sự của chủ xe cơ giới;</w:t>
      </w:r>
    </w:p>
    <w:p>
      <w:pPr>
        <w:jc w:val="both"/>
      </w:pPr>
      <w:r>
        <w:t>Theo đề nghị của Cục trưởng Cục Quản lý, giám sát bảo hiểm;</w:t>
      </w:r>
    </w:p>
    <w:p>
      <w:pPr>
        <w:jc w:val="both"/>
      </w:pPr>
      <w:r>
        <w:t>Bộ trưởng Bộ Tài chính ban hành Thông tư sửa đổi, bổ sung một số điều của Thông tư số 126/2008/TT-BTC ngày 22/12/2008 của Bộ Tài chính quy định Quy tắc, điều khoản, biểu phí và mức trách nhiệm bảo hiểm bắt buộc trách nhiệm dân sự của chủ xe cơ giới (sau đây gọi tắt là “Thông tư số 126/2008/TT-BTC ”), Thông tư số 103/2009/TT-BTC ngày 25/5/2009 của Bộ Tài chính quy định việc quản lý, sử dụng, thanh toán và quyết toán Quỹ bảo hiểm xe cơ giới (sau đây gọi tắt là “Thông tư số 103/2009/TT-BTC ”) và Thông tư số 151/2012/TT-BTC ngày 12/9/2012 sửa đổi, bổ sung Thông tư số 126/2008/TT-BTC và Thông tư số 103/2009/TT-BTC (sau đây gọi tắt là ”Thông tư số 151/2012/TT-BTC ”).</w:t>
      </w:r>
    </w:p>
    <w:p>
      <w:pPr>
        <w:jc w:val="both"/>
      </w:pPr>
      <w:r>
        <w:rPr>
          <w:b/>
        </w:rPr>
        <w:t>Điều 1. Sửa đổi, bổ sung Điểm 14.11, Khoản 14, Mục II Thông tư số 126/2008/TT-BTC như sau:</w:t>
      </w:r>
    </w:p>
    <w:p>
      <w:pPr>
        <w:jc w:val="both"/>
      </w:pPr>
      <w:r>
        <w:t>"14.11. Trích 1% doanh thu phí bảo hiểm bắt buộc trách nhiệm dân sự của chủ xe cơ giới hàng năm đóng góp vào Quỹ bảo hiểm xe cơ giới."</w:t>
      </w:r>
    </w:p>
    <w:p>
      <w:pPr>
        <w:jc w:val="both"/>
      </w:pPr>
      <w:r>
        <w:rPr>
          <w:b/>
        </w:rPr>
        <w:t>Điều 2. Sửa đổi, bổ sung một số điều của Thông tư số 103/2009/TT-BTC</w:t>
      </w:r>
    </w:p>
    <w:p>
      <w:pPr>
        <w:jc w:val="both"/>
      </w:pPr>
      <w:r>
        <w:t>1. Khoản 1, Điều 4 được sửa đổi, bổ sung như sau:</w:t>
      </w:r>
    </w:p>
    <w:p>
      <w:pPr>
        <w:jc w:val="both"/>
      </w:pPr>
      <w:r>
        <w:t>"1. Doanh nghiệp bảo hiểm có trách nhiệm trích 1% doanh thu phí bảo hiểm bắt buộc trách nhiệm dân sự của chủ xe cơ giới hàng năm để đóng vào Quỹ."</w:t>
      </w:r>
    </w:p>
    <w:p>
      <w:pPr>
        <w:jc w:val="both"/>
      </w:pPr>
      <w:r>
        <w:t>2. Khoản 7, Điều 6 được sửa đổi, bổ sung như sau:</w:t>
      </w:r>
    </w:p>
    <w:p>
      <w:pPr>
        <w:jc w:val="both"/>
      </w:pPr>
      <w:r>
        <w:t>"7. Chi quản lý Quỹ và chi khác: Mức chi không vượt quá 6% tổng số tiền đóng vào Quỹ hàng năm. Ban điều hành Quỹ phối hợp với các doanh nghiệp bảo hiểm phi nhân thọ xây dựng kế hoạch, lập dự toán kinh phí cho các nội dung chi nêu trên và trình Hội đồng quản lý Quỹ phê duyệt trước khi thực hiện. Việc thực hiện phải đảm bảo tuân thủ đúng các quy định tại Thông tư này và quy định pháp luật khác có liên quan.Trường hợp cần thay đổi mức chi cho phù hợp với thực tế, Hội đồng quản lý Quỹ đề xuất Bộ Tài chính (Cục Quản lý, giám sát bảo hiểm) có ý kiến bằng văn bản trước khi thực hiện."</w:t>
      </w:r>
    </w:p>
    <w:p>
      <w:pPr>
        <w:jc w:val="both"/>
      </w:pPr>
      <w:r>
        <w:t>3. Bãi bỏ Khoản 3 Điều 4.</w:t>
      </w:r>
    </w:p>
    <w:p>
      <w:pPr>
        <w:jc w:val="both"/>
      </w:pPr>
      <w:r>
        <w:t>4. Bãi bỏ Khoản 2 Điều 13.</w:t>
      </w:r>
    </w:p>
    <w:p>
      <w:pPr>
        <w:jc w:val="both"/>
      </w:pPr>
      <w:r>
        <w:rPr>
          <w:b/>
        </w:rPr>
        <w:t>Điều 3. Sửa đổi, bổ sung Điều 2 Thông tư số 151/2012/TT-BTC như sau:</w:t>
      </w:r>
    </w:p>
    <w:p>
      <w:pPr>
        <w:jc w:val="both"/>
      </w:pPr>
      <w:r>
        <w:t>"3. Chi hỗ trợ nhân đạo: Mức chi không vượt quá 12% tổng số tiền đóng vào Quỹ hàng năm, cụ thể:Hỗ trợ chi phí mai táng đối với thiệt hại về tính mạng của người thứ ba và hành khách chuyên chở trên xe do xe cơ giới gây ra trong trường hợp không xác định được xe gây tai nạn, xe không tham gia bảo hiểm, loại trừ bảo hiểm quy định tại Điều 13 Nghị định số 103/2008/NĐ-CP . Mức hỗ trợ chi phí mai táng là 20 triệu đồng/1 người/vụ."</w:t>
      </w:r>
    </w:p>
    <w:p>
      <w:pPr>
        <w:jc w:val="both"/>
      </w:pPr>
      <w:r>
        <w:rPr>
          <w:b/>
        </w:rPr>
        <w:t>Điều 4. Tổ chức thực hiện</w:t>
      </w:r>
    </w:p>
    <w:p>
      <w:pPr>
        <w:jc w:val="both"/>
      </w:pPr>
      <w:r>
        <w:t>1. Thông tư này có hiệu lực thi hành kể từ ngày 25 tháng 5 năm 2014. Mức đóng góp vào Quỹ bảo hiểm xe cơ giới, mức chi hỗ trợ nhân đạo, chi quản lý Quỹ và chi khác được áp dụng từ năm tài chính 2014.</w:t>
      </w:r>
    </w:p>
    <w:p>
      <w:pPr>
        <w:jc w:val="both"/>
      </w:pPr>
      <w:r>
        <w:t>2. Trong quá trình thực hiện, nếu phát sinh vướng mắc, đề nghị phản ánh kịp thời về Bộ Tài chính để xem xét, giải quyết.</w:t>
      </w:r>
    </w:p>
    <w:p>
      <w:pPr>
        <w:jc w:val="both"/>
      </w:pPr>
      <w:r>
        <w:t>THỨ TRƯỞNG</w:t>
      </w:r>
    </w:p>
    <w:p>
      <w:pPr>
        <w:jc w:val="both"/>
      </w:pPr>
      <w:r>
        <w:t>(Đã ký)</w:t>
      </w:r>
    </w:p>
    <w:p>
      <w:pPr>
        <w:jc w:val="both"/>
      </w:pPr>
      <w:r>
        <w:t>Nguyễn Công Nghiệp</w:t>
      </w:r>
    </w:p>
    <w:p>
      <w:r>
        <w:rPr>
          <w:i/>
        </w:rPr>
        <w:t>Nguồn: Cơ sở dữ liệu quốc gia về văn bản pháp luật (Bộ Tư pháp). VietSmart Legal, legal.giangpham.asia/van-ban/45812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