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26/2014/TT-BNNPTTN</w:t>
      </w:r>
    </w:p>
    <w:p>
      <w:pPr>
        <w:jc w:val="both"/>
      </w:pPr>
      <w:r>
        <w:t>Ngày 25 tháng 8 năm 2014</w:t>
      </w:r>
    </w:p>
    <w:p>
      <w:pPr>
        <w:jc w:val="center"/>
      </w:pPr>
      <w:r>
        <w:rPr>
          <w:b/>
        </w:rPr>
        <w:t>THÔNG TƯ</w:t>
      </w:r>
    </w:p>
    <w:p>
      <w:pPr>
        <w:jc w:val="both"/>
      </w:pPr>
      <w:r>
        <w:t>Quy định yêu cầu về nhà xưởng, trang thiết bị đối với cơ sở đóng mới, nâng cấp, cải hoán tàu cá</w:t>
      </w:r>
    </w:p>
    <w:p>
      <w:pPr>
        <w:jc w:val="both"/>
      </w:pPr>
      <w:r>
        <w:t>___________________________</w:t>
      </w:r>
    </w:p>
    <w:p>
      <w:pPr>
        <w:jc w:val="both"/>
      </w:pPr>
      <w:r>
        <w:t>Căn cứ Nghị định số 199/2013/NĐ-CP ngày 26 tháng 11 năm 2013 của Chính phủ quy định chức năng, nhiệm vụ, quyền hạn và cơ cấu tổ chức của Bộ Nông nghiệp và Phát triển nông thôn;</w:t>
      </w:r>
    </w:p>
    <w:p>
      <w:pPr>
        <w:jc w:val="both"/>
      </w:pPr>
      <w:r>
        <w:t>Căn cứ Nghị định số 59/2005/NĐ-CP ngày 04 tháng 05 năm 2005 của Chính phủ về điều kiện sản xuất, kinh doanh một số ngành nghề thủy sản (sau đây gọi là Nghị định số 59/2005/NĐ-CP ); Nghị định số 14/2009/NĐ-CP của Chính phủ ngày 13 tháng 02 năm 2009 về việc sửa đổi, bổ sung một số điều của Nghị định số 59/2005/NĐ-CP ;</w:t>
      </w:r>
    </w:p>
    <w:p>
      <w:pPr>
        <w:jc w:val="both"/>
      </w:pPr>
      <w:r>
        <w:t>Căn cứ Nghị định số 67/2014/NĐ-CP ngày 07 tháng 7 năm 2014 của Chính phủ về một số chính sách phát triển thủy sản;</w:t>
      </w:r>
    </w:p>
    <w:p>
      <w:pPr>
        <w:jc w:val="both"/>
      </w:pPr>
      <w:r>
        <w:t>Theo đề nghị của Tổng cục trưởng Tổng cục Thủy sản,</w:t>
      </w:r>
    </w:p>
    <w:p>
      <w:pPr>
        <w:jc w:val="both"/>
      </w:pPr>
      <w:r>
        <w:t>Bộ trưởng Bộ Nông nghiệp và Phát triển nông thôn ban hành Thông tư quy định yêu cầu về nhà xưởng, trang thiết bị đối với cơ sở đóng mới, nâng cấp, cải hoán tàu cá.</w:t>
      </w:r>
    </w:p>
    <w:p>
      <w:pPr>
        <w:jc w:val="both"/>
      </w:pPr>
      <w:r>
        <w:rPr>
          <w:b/>
        </w:rPr>
        <w:t>Điều 1. Phạm vi điều chỉnh</w:t>
      </w:r>
    </w:p>
    <w:p>
      <w:pPr>
        <w:jc w:val="both"/>
      </w:pPr>
      <w:r>
        <w:t>Thông tư này quy định yêu cầu về nhà xưởng, trang thiết bị đối với cơ sở đóng mới, nâng cấp, cải hoán tàu cá có tổng công suất máy chính từ 90 CV trở lên.</w:t>
      </w:r>
    </w:p>
    <w:p>
      <w:pPr>
        <w:jc w:val="both"/>
      </w:pPr>
      <w:r>
        <w:rPr>
          <w:b/>
        </w:rPr>
        <w:t>Điều 2. Đối tượng áp dụng</w:t>
      </w:r>
    </w:p>
    <w:p>
      <w:pPr>
        <w:jc w:val="both"/>
      </w:pPr>
      <w:r>
        <w:t>Thông tư này áp dụng đối với các tổ chức, cá nhân có liên quan đến hoạt động đóng mới, nâng cấp, cải hoán tàu cá có tổng công suất máy chính từ 90 CV trở lên.</w:t>
      </w:r>
    </w:p>
    <w:p>
      <w:pPr>
        <w:jc w:val="both"/>
      </w:pPr>
      <w:r>
        <w:rPr>
          <w:b/>
        </w:rPr>
        <w:t>Điều 3. Yêu cầu về nhà xưởng, trang thiết bị đối với cơ sở đóng mới, nâng cấp, cải hoán tàu cá vỏ gỗ</w:t>
      </w:r>
    </w:p>
    <w:p>
      <w:pPr>
        <w:jc w:val="both"/>
      </w:pPr>
      <w:r>
        <w:t>Cơ sở đóng mới, nâng cấp, cải hoán tàu cá vỏ gỗ phải đáp ứng các yêu cầu về nhà xưởng, trang thiết bị tối thiểu theo Phụ lục I ban hành kèm theo Thông tư này.</w:t>
      </w:r>
    </w:p>
    <w:p>
      <w:pPr>
        <w:jc w:val="both"/>
      </w:pPr>
      <w:r>
        <w:rPr>
          <w:b/>
        </w:rPr>
        <w:t>Điều 4. Yêu cầu về nhà xưởng, trang thiết bị đối với cơ sở đóng mới, nâng cấp, cải hoán tàu cá vỏ vật liệu mới (composite)</w:t>
      </w:r>
    </w:p>
    <w:p>
      <w:pPr>
        <w:jc w:val="both"/>
      </w:pPr>
      <w:r>
        <w:t>Cơ sở đóng mới, nâng cấp, cải hoán tàu cá vỏ vật liệu mới (composite) phải đáp ứng các yêu cầu về nhà xưởng, trang thiết bị tối thiểu theo Phụ lục II ban hành kèm theo Thông tư này.</w:t>
      </w:r>
    </w:p>
    <w:p>
      <w:pPr>
        <w:jc w:val="both"/>
      </w:pPr>
      <w:r>
        <w:rPr>
          <w:b/>
        </w:rPr>
        <w:t>Điều 5. Yêu cầu về nhà xưởng, trang thiết bị đối với cơ sở đóng mới, nâng cấp, cải hoán tàu cá vỏ thép</w:t>
      </w:r>
    </w:p>
    <w:p>
      <w:pPr>
        <w:jc w:val="both"/>
      </w:pPr>
      <w:r>
        <w:t>Cơ sở đóng mới, nâng cấp, cải hoán tàu cá vỏ thép phải đáp ứng các yêu cầu về nhà xưởng, trang thiết bị tối thiểu theo quy định tại Phụ lục số III ban hành kèm theo Thông tư này.</w:t>
      </w:r>
    </w:p>
    <w:p>
      <w:pPr>
        <w:jc w:val="both"/>
      </w:pPr>
      <w:r>
        <w:rPr>
          <w:b/>
        </w:rPr>
        <w:t>Điều 6. Tổ chức thực hiện</w:t>
      </w:r>
    </w:p>
    <w:p>
      <w:pPr>
        <w:jc w:val="both"/>
      </w:pPr>
      <w:r>
        <w:t>1. Ủy ban nhân dân các tỉnh thành phố trực thuộc Trung ương có trách nhiệm:</w:t>
      </w:r>
    </w:p>
    <w:p>
      <w:pPr>
        <w:jc w:val="both"/>
      </w:pPr>
      <w:r>
        <w:t>a) Tổ chức tuyên truyền, phổ biến cho các tổ chức, cá nhân có liên quan đến hoạt động đóng mới, nâng cấp, cải hoán tàu cá trên địa bàn tỉnh;</w:t>
      </w:r>
    </w:p>
    <w:p>
      <w:pPr>
        <w:jc w:val="both"/>
      </w:pPr>
      <w:r>
        <w:t>b) Chỉ đạo Sở Nông nghiệp và Phát triển nông thôn kiểm tra, đánh giá điều kiện của các cơ sở đóng mới, nâng cấp, cải hoán tàu cá trên địa bàn tỉnh; hàng năm tham mưu cho Ủy ban nhân dân cấp tỉnh công bố các cơ sở đóng tàu đủ điều kiện theo quy định và báo cáo về Bộ Nông nghiệp và Phát triển nông thôn (qua Tổng cục Thủy sản).</w:t>
      </w:r>
    </w:p>
    <w:p>
      <w:pPr>
        <w:jc w:val="both"/>
      </w:pPr>
      <w:r>
        <w:t>2. Tổng cục Thủy sản có trách nhiệm:</w:t>
      </w:r>
    </w:p>
    <w:p>
      <w:pPr>
        <w:jc w:val="both"/>
      </w:pPr>
      <w:r>
        <w:t>a) Tổ chức tuyên truyền, phổ biến Thông tư này cho các tổ chức, cá nhân có liên quan đến hoạt động đóng mới, nâng cấp, cải hoán tàu cá;</w:t>
      </w:r>
    </w:p>
    <w:p>
      <w:pPr>
        <w:jc w:val="both"/>
      </w:pPr>
      <w:r>
        <w:t>b) Hướng dẫn các địa phương kiểm tra, đánh giá các cơ sở đóng mới, nâng cấp, cải hoán tàu cá theo quy định.</w:t>
      </w:r>
    </w:p>
    <w:p>
      <w:pPr>
        <w:jc w:val="both"/>
      </w:pPr>
      <w:r>
        <w:t>c) Tổng hợp trình Bộ Nông nghiệp và Phát triển nông thôn công bố danh sách các cơ sở đóng mới, nâng cấp, cải hoán tàu cá đáp ứng các điều kiện theo quy định.</w:t>
      </w:r>
    </w:p>
    <w:p>
      <w:pPr>
        <w:jc w:val="both"/>
      </w:pPr>
      <w:r>
        <w:rPr>
          <w:b/>
        </w:rPr>
        <w:t>Điều 7. Điều khoản thi hành</w:t>
      </w:r>
    </w:p>
    <w:p>
      <w:pPr>
        <w:jc w:val="both"/>
      </w:pPr>
      <w:r>
        <w:t>1. Thông tư này có hiệu lực kể từ ngày 25 tháng 8 năm 2014.</w:t>
      </w:r>
    </w:p>
    <w:p>
      <w:pPr>
        <w:jc w:val="both"/>
      </w:pPr>
      <w:r>
        <w:t>2. Các đơn vị thuộc Bộ Nông nghiệp và Phát triển nông thôn, Sở Nông nghiệp và Phát triển nông thôn các tỉnh, thành phố trực thuộc Trung ương và tổ chức, cá nhân có liên quan chịu trách nhiệm thi hành Thông tư này.</w:t>
      </w:r>
    </w:p>
    <w:p>
      <w:pPr>
        <w:jc w:val="both"/>
      </w:pPr>
      <w:r>
        <w:t>3. Trong quá trình thực hiện, nếu có khó khăn, vướng mắc, các tổ chức, cá nhân phản ánh về Bộ Nông nghiệp và Phát triển nông thôn (qua Tổng cục Thủy sản) để tổng hợp trình Bộ xem xét, quyết định.</w:t>
      </w:r>
    </w:p>
    <w:p>
      <w:pPr>
        <w:jc w:val="both"/>
      </w:pPr>
      <w:r>
        <w:t>KT. BỘ TRƯỞNG</w:t>
      </w:r>
    </w:p>
    <w:p>
      <w:pPr>
        <w:jc w:val="both"/>
      </w:pPr>
      <w:r>
        <w:t>THỨ TRƯỞNG</w:t>
      </w:r>
    </w:p>
    <w:p>
      <w:pPr>
        <w:jc w:val="both"/>
      </w:pPr>
      <w:r>
        <w:t>(Đã ký)</w:t>
      </w:r>
    </w:p>
    <w:p>
      <w:pPr>
        <w:jc w:val="both"/>
      </w:pPr>
      <w:r>
        <w:t>Vũ Văn Tám</w:t>
      </w:r>
    </w:p>
    <w:p>
      <w:r>
        <w:rPr>
          <w:i/>
        </w:rPr>
        <w:t>Nguồn: Cơ sở dữ liệu quốc gia về văn bản pháp luật (Bộ Tư pháp). VietSmart Legal, legal.giangpham.asia/van-ban/44145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