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109/2014/NĐ-CP</w:t>
      </w:r>
    </w:p>
    <w:p>
      <w:pPr>
        <w:jc w:val="both"/>
      </w:pPr>
      <w:r>
        <w:t>Hà Nội, ngày 20 tháng 11 năm 2014</w:t>
      </w:r>
    </w:p>
    <w:p>
      <w:pPr>
        <w:jc w:val="center"/>
      </w:pPr>
      <w:r>
        <w:rPr>
          <w:b/>
        </w:rPr>
        <w:t>NGHỊ ĐỊNH</w:t>
      </w:r>
    </w:p>
    <w:p>
      <w:pPr>
        <w:jc w:val="both"/>
      </w:pPr>
      <w:r>
        <w:t>Về Quy chế bảo vệ công trình cảng biển và luồng hàng hải</w:t>
      </w:r>
    </w:p>
    <w:p>
      <w:pPr>
        <w:jc w:val="both"/>
      </w:pPr>
      <w:r>
        <w:t>__________________</w:t>
      </w:r>
    </w:p>
    <w:p>
      <w:pPr>
        <w:jc w:val="both"/>
      </w:pPr>
      <w:r>
        <w:t>Căn cứ Luật Tổ chức Chính phủ ngày 25 tháng 12 năm 2001;</w:t>
      </w:r>
    </w:p>
    <w:p>
      <w:pPr>
        <w:jc w:val="both"/>
      </w:pPr>
      <w:r>
        <w:t>Căn cứ Bộ luật hàng hải Việt Nam ngày 14 tháng 6 năm 2005;</w:t>
      </w:r>
    </w:p>
    <w:p>
      <w:pPr>
        <w:jc w:val="both"/>
      </w:pPr>
      <w:r>
        <w:t>Căn cứ Luật Biển Việt Nam ngày 21 tháng 6 năm 2012;</w:t>
      </w:r>
    </w:p>
    <w:p>
      <w:pPr>
        <w:jc w:val="both"/>
      </w:pPr>
      <w:r>
        <w:t>Theo đề nghị của Bộ trưởng Bộ Giao thông vận tải,</w:t>
      </w:r>
    </w:p>
    <w:p>
      <w:pPr>
        <w:jc w:val="both"/>
      </w:pPr>
      <w:r>
        <w:t>Chính phủ ban hành Nghị định về Quy chế bảo vệ công trình cảng biển và luồng hàng hải.</w:t>
      </w:r>
    </w:p>
    <w:p>
      <w:pPr>
        <w:jc w:val="both"/>
      </w:pPr>
      <w:r>
        <w:rPr>
          <w:b/>
        </w:rPr>
        <w:t>Điều 1. Ban hành kèm theo Nghị định này Quy chế bảo vệ công trình cảng biển và luồng hàng hải.</w:t>
      </w:r>
    </w:p>
    <w:p>
      <w:pPr>
        <w:jc w:val="both"/>
      </w:pPr>
      <w:r>
        <w:rPr>
          <w:b/>
        </w:rPr>
        <w:t>Điều 2. Hiệu lực thi hành</w:t>
      </w:r>
    </w:p>
    <w:p>
      <w:pPr>
        <w:jc w:val="both"/>
      </w:pPr>
      <w:r>
        <w:t>1. Nghị định này có hiệu lực thi hành kể từ ngày 05 tháng 01 năm 2015.</w:t>
      </w:r>
    </w:p>
    <w:p>
      <w:pPr>
        <w:jc w:val="both"/>
      </w:pPr>
      <w:r>
        <w:t>2. Bãi bỏ các quy định về bảo vệ công trình cảng biển và luồng hàng hải tại Mục 5 Chương II của Nghị định số 21/2012/NĐ-CP ngày 21 tháng 3 năm 2012 của Chính phủ về quản lý cảng biển và luồng hàng hải.</w:t>
      </w:r>
    </w:p>
    <w:p>
      <w:pPr>
        <w:jc w:val="both"/>
      </w:pPr>
      <w:r>
        <w:rPr>
          <w:b/>
        </w:rPr>
        <w:t>Điều 3.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legal.giangpham.asia/van-ban/37921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