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51/2013/TT-BGTVT</w:t>
      </w:r>
    </w:p>
    <w:p>
      <w:pPr>
        <w:jc w:val="both"/>
      </w:pPr>
      <w:r>
        <w:t>Hà Nội, ngày 11 tháng 12 năm 2013</w:t>
      </w:r>
    </w:p>
    <w:p>
      <w:pPr>
        <w:jc w:val="center"/>
      </w:pPr>
      <w:r>
        <w:rPr>
          <w:b/>
        </w:rPr>
        <w:t>THÔNG TƯ</w:t>
      </w:r>
    </w:p>
    <w:p>
      <w:pPr>
        <w:jc w:val="both"/>
      </w:pPr>
      <w:r>
        <w:t>Sửa đổi, bổ sung một số điều của Thông tư số 11/2012/TT-BGTVT</w:t>
      </w:r>
    </w:p>
    <w:p>
      <w:pPr>
        <w:jc w:val="both"/>
      </w:pPr>
      <w:r>
        <w:t>ngày 12 tháng 4 năm 2012 của Bộ trưởng Bộ Giao thông vận tải</w:t>
      </w:r>
    </w:p>
    <w:p>
      <w:pPr>
        <w:jc w:val="both"/>
      </w:pPr>
      <w:r>
        <w:t>quy định về tiêu chuẩn chuyên môn, chứng chỉ chuyên môn</w:t>
      </w:r>
    </w:p>
    <w:p>
      <w:pPr>
        <w:jc w:val="both"/>
      </w:pPr>
      <w:r>
        <w:t>của thuyền viên và định biên an toàn tối thiểu</w:t>
      </w:r>
    </w:p>
    <w:p>
      <w:pPr>
        <w:jc w:val="both"/>
      </w:pPr>
      <w:r>
        <w:t>của tàu biển Việt Nam</w:t>
      </w:r>
    </w:p>
    <w:p>
      <w:pPr>
        <w:jc w:val="both"/>
      </w:pPr>
      <w:r>
        <w:t>_____________</w:t>
      </w:r>
    </w:p>
    <w:p>
      <w:pPr>
        <w:jc w:val="both"/>
      </w:pPr>
      <w:r>
        <w:t>Căn cứ Bộ luật Hàng hải Việt Nam ngày 14 tháng 6 năm 2005;</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Căn cứ Công ước quốc tế về tiêu chuẩn huấn luyện, cấp chứng chỉ và trực ca cho thuyền viên năm 1978 sửa đổi năm 2010 mà Việt Nam là thành viên;</w:t>
      </w:r>
    </w:p>
    <w:p>
      <w:pPr>
        <w:jc w:val="both"/>
      </w:pPr>
      <w:r>
        <w:t>Theo đề nghị của Vụ trưởng Vụ Tổ chức cán bộ và Cục trưởng Cục Hàng hải Việt Nam;</w:t>
      </w:r>
    </w:p>
    <w:p>
      <w:pPr>
        <w:jc w:val="both"/>
      </w:pPr>
      <w:r>
        <w:t>Bộ trưởng Bộ Giao thông vận tải ban hành Thông tư sửa đổi, bổ sung một số điều của Thông tư số 11/2012/TT-BGTVT ngày 12 tháng 4 năm 2012 của Bộ trưởng Bộ Giao thông vận tải quy định về tiêu chuẩn chuyên môn, chứng chỉ chuyên môn của thuyền viên và định biên an toàn tối thiểu của tàu biển Việt Nam,</w:t>
      </w:r>
    </w:p>
    <w:p>
      <w:pPr>
        <w:jc w:val="both"/>
      </w:pPr>
      <w:r>
        <w:rPr>
          <w:b/>
        </w:rPr>
        <w:t>Điều 1. Sửa đổi, bổ sung một số điều của Thông tư số 11/2012/TT-BGTVT ngày 12 tháng 4 năm 2012 của Bộ trưởng Bộ Giao thông vận tải quy định về tiêu chuẩn chuyên môn, chứng chỉ chuyên môn của thuyền viên và định biên an toàn tối thiểu của tàu biển Việt Nam.</w:t>
      </w:r>
    </w:p>
    <w:p>
      <w:pPr>
        <w:jc w:val="both"/>
      </w:pPr>
      <w:r>
        <w:t>1. Khoản 1 Điều 40 được sửa đổi như sau:</w:t>
      </w:r>
    </w:p>
    <w:p>
      <w:pPr>
        <w:jc w:val="both"/>
      </w:pPr>
      <w:r>
        <w:t>"1. Hội đồng thi sỹ quan (sau đây gọi là Hội đồng thi) do Cục trưởng Cục Hàng hải Việt Nam thành lập, gồm từ 05 đến 07 thành viên: Chủ tịch Hội đồng thi là lãnh đạo Cục Hàng hải Việt Nam; các ủy viên là đại diện của một số phòng chức năng có liên quan của Cục Hàng hải Việt Nam, thủ trưởng cơ sở đào tạo, huấn luyện."</w:t>
      </w:r>
    </w:p>
    <w:p>
      <w:pPr>
        <w:jc w:val="both"/>
      </w:pPr>
      <w:r>
        <w:t>2. Khoản 1 Điều 56 được sửa đổi, bổ sung như sau:</w:t>
      </w:r>
    </w:p>
    <w:p>
      <w:pPr>
        <w:jc w:val="both"/>
      </w:pPr>
      <w:r>
        <w:t>"1. Quy định chung đối với tàu biển Việt Nam</w:t>
      </w:r>
    </w:p>
    <w:p>
      <w:pPr>
        <w:jc w:val="both"/>
      </w:pPr>
      <w:r>
        <w:t>a) Định biên an toàn tối thiểu bộ phận boong theo tổng dung tích (GT):</w:t>
      </w:r>
    </w:p>
    <w:p>
      <w:pPr>
        <w:jc w:val="both"/>
      </w:pPr>
      <w:r>
        <w:t>Chức danh</w:t>
      </w:r>
    </w:p>
    <w:p>
      <w:pPr>
        <w:jc w:val="both"/>
      </w:pPr>
      <w:r>
        <w:t>Dưới 50 GT</w:t>
      </w:r>
    </w:p>
    <w:p>
      <w:pPr>
        <w:jc w:val="both"/>
      </w:pPr>
      <w:r>
        <w:t>Từ 50 GT đến dưới 500 GT</w:t>
      </w:r>
    </w:p>
    <w:p>
      <w:pPr>
        <w:jc w:val="both"/>
      </w:pPr>
      <w:r>
        <w:t>Từ 500 GT đến dưới 3000 GT</w:t>
      </w:r>
    </w:p>
    <w:p>
      <w:pPr>
        <w:jc w:val="both"/>
      </w:pPr>
      <w:r>
        <w:t>Từ 3000 GT trở lên</w:t>
      </w:r>
    </w:p>
    <w:p>
      <w:pPr>
        <w:jc w:val="both"/>
      </w:pPr>
      <w:r>
        <w:t>Thuyền trưởng</w:t>
      </w:r>
    </w:p>
    <w:p>
      <w:pPr>
        <w:jc w:val="both"/>
      </w:pPr>
      <w:r>
        <w:t>01</w:t>
      </w:r>
    </w:p>
    <w:p>
      <w:pPr>
        <w:jc w:val="both"/>
      </w:pPr>
      <w:r>
        <w:t>01</w:t>
      </w:r>
    </w:p>
    <w:p>
      <w:pPr>
        <w:jc w:val="both"/>
      </w:pPr>
      <w:r>
        <w:t>01</w:t>
      </w:r>
    </w:p>
    <w:p>
      <w:pPr>
        <w:jc w:val="both"/>
      </w:pPr>
      <w:r>
        <w:t>01</w:t>
      </w:r>
    </w:p>
    <w:p>
      <w:pPr>
        <w:jc w:val="both"/>
      </w:pPr>
      <w:r>
        <w:t>Đại phó</w:t>
      </w:r>
    </w:p>
    <w:p>
      <w:pPr>
        <w:jc w:val="both"/>
      </w:pPr>
      <w:r>
        <w:t>01</w:t>
      </w:r>
    </w:p>
    <w:p>
      <w:pPr>
        <w:jc w:val="both"/>
      </w:pPr>
      <w:r>
        <w:t>01</w:t>
      </w:r>
    </w:p>
    <w:p>
      <w:pPr>
        <w:jc w:val="both"/>
      </w:pPr>
      <w:r>
        <w:t>01</w:t>
      </w:r>
    </w:p>
    <w:p>
      <w:pPr>
        <w:jc w:val="both"/>
      </w:pPr>
      <w:r>
        <w:t>Sỹ quan boong</w:t>
      </w:r>
    </w:p>
    <w:p>
      <w:pPr>
        <w:jc w:val="both"/>
      </w:pPr>
      <w:r>
        <w:t>01</w:t>
      </w:r>
    </w:p>
    <w:p>
      <w:pPr>
        <w:jc w:val="both"/>
      </w:pPr>
      <w:r>
        <w:t>02</w:t>
      </w:r>
    </w:p>
    <w:p>
      <w:pPr>
        <w:jc w:val="both"/>
      </w:pPr>
      <w:r>
        <w:t>Sỹ quan TTVT (*)</w:t>
      </w:r>
    </w:p>
    <w:p>
      <w:pPr>
        <w:jc w:val="both"/>
      </w:pPr>
      <w:r>
        <w:t>01</w:t>
      </w:r>
    </w:p>
    <w:p>
      <w:pPr>
        <w:jc w:val="both"/>
      </w:pPr>
      <w:r>
        <w:t>01</w:t>
      </w:r>
    </w:p>
    <w:p>
      <w:pPr>
        <w:jc w:val="both"/>
      </w:pPr>
      <w:r>
        <w:t>Thủy thủ trực ca AB</w:t>
      </w:r>
    </w:p>
    <w:p>
      <w:pPr>
        <w:jc w:val="both"/>
      </w:pPr>
      <w:r>
        <w:t>01</w:t>
      </w:r>
    </w:p>
    <w:p>
      <w:pPr>
        <w:jc w:val="both"/>
      </w:pPr>
      <w:r>
        <w:t>01</w:t>
      </w:r>
    </w:p>
    <w:p>
      <w:pPr>
        <w:jc w:val="both"/>
      </w:pPr>
      <w:r>
        <w:t>02</w:t>
      </w:r>
    </w:p>
    <w:p>
      <w:pPr>
        <w:jc w:val="both"/>
      </w:pPr>
      <w:r>
        <w:t>02</w:t>
      </w:r>
    </w:p>
    <w:p>
      <w:pPr>
        <w:jc w:val="both"/>
      </w:pPr>
      <w:r>
        <w:t>Tổng cộng</w:t>
      </w:r>
    </w:p>
    <w:p>
      <w:pPr>
        <w:jc w:val="both"/>
      </w:pPr>
      <w:r>
        <w:t>02</w:t>
      </w:r>
    </w:p>
    <w:p>
      <w:pPr>
        <w:jc w:val="both"/>
      </w:pPr>
      <w:r>
        <w:t>03</w:t>
      </w:r>
    </w:p>
    <w:p>
      <w:pPr>
        <w:jc w:val="both"/>
      </w:pPr>
      <w:r>
        <w:t>06</w:t>
      </w:r>
    </w:p>
    <w:p>
      <w:pPr>
        <w:jc w:val="both"/>
      </w:pPr>
      <w:r>
        <w:t>07</w:t>
      </w:r>
    </w:p>
    <w:p>
      <w:pPr>
        <w:jc w:val="both"/>
      </w:pPr>
      <w:r>
        <w:t>(*) Trường hợp sỹ quan boong có chứng chỉ chuyên môn phù hợp để đảm nhiệm nhiệm vụ khai thác thiết bị vô tuyến điện trên tàu thì không phải bố trí chức danh sỹ quan TTVT.</w:t>
      </w:r>
    </w:p>
    <w:p>
      <w:pPr>
        <w:jc w:val="both"/>
      </w:pPr>
      <w:r>
        <w:t>b) Định biên an toàn tối thiểu bộ phận máy theo tổng công suất máy chính (KW):</w:t>
      </w:r>
    </w:p>
    <w:p>
      <w:pPr>
        <w:jc w:val="both"/>
      </w:pPr>
      <w:r>
        <w:t>Chức danh</w:t>
      </w:r>
    </w:p>
    <w:p>
      <w:pPr>
        <w:jc w:val="both"/>
      </w:pPr>
      <w:r>
        <w:t>Dưới 75 KW</w:t>
      </w:r>
    </w:p>
    <w:p>
      <w:pPr>
        <w:jc w:val="both"/>
      </w:pPr>
      <w:r>
        <w:t>Từ 75KW đến dưới 750 KW</w:t>
      </w:r>
    </w:p>
    <w:p>
      <w:pPr>
        <w:jc w:val="both"/>
      </w:pPr>
      <w:r>
        <w:t>Từ 750 KW đến dưới 3000 KW</w:t>
      </w:r>
    </w:p>
    <w:p>
      <w:pPr>
        <w:jc w:val="both"/>
      </w:pPr>
      <w:r>
        <w:t>Từ 3000 KW trở lên</w:t>
      </w:r>
    </w:p>
    <w:p>
      <w:pPr>
        <w:jc w:val="both"/>
      </w:pPr>
      <w:r>
        <w:t>Máy trưởng</w:t>
      </w:r>
    </w:p>
    <w:p>
      <w:pPr>
        <w:jc w:val="both"/>
      </w:pPr>
      <w:r>
        <w:t>01</w:t>
      </w:r>
    </w:p>
    <w:p>
      <w:pPr>
        <w:jc w:val="both"/>
      </w:pPr>
      <w:r>
        <w:t>01</w:t>
      </w:r>
    </w:p>
    <w:p>
      <w:pPr>
        <w:jc w:val="both"/>
      </w:pPr>
      <w:r>
        <w:t>01</w:t>
      </w:r>
    </w:p>
    <w:p>
      <w:pPr>
        <w:jc w:val="both"/>
      </w:pPr>
      <w:r>
        <w:t>01</w:t>
      </w:r>
    </w:p>
    <w:p>
      <w:pPr>
        <w:jc w:val="both"/>
      </w:pPr>
      <w:r>
        <w:t>Máy hai</w:t>
      </w:r>
    </w:p>
    <w:p>
      <w:pPr>
        <w:jc w:val="both"/>
      </w:pPr>
      <w:r>
        <w:t>01</w:t>
      </w:r>
    </w:p>
    <w:p>
      <w:pPr>
        <w:jc w:val="both"/>
      </w:pPr>
      <w:r>
        <w:t>01</w:t>
      </w:r>
    </w:p>
    <w:p>
      <w:pPr>
        <w:jc w:val="both"/>
      </w:pPr>
      <w:r>
        <w:t>Sỹ quan máy</w:t>
      </w:r>
    </w:p>
    <w:p>
      <w:pPr>
        <w:jc w:val="both"/>
      </w:pPr>
      <w:r>
        <w:t>01</w:t>
      </w:r>
    </w:p>
    <w:p>
      <w:pPr>
        <w:jc w:val="both"/>
      </w:pPr>
      <w:r>
        <w:t>01</w:t>
      </w:r>
    </w:p>
    <w:p>
      <w:pPr>
        <w:jc w:val="both"/>
      </w:pPr>
      <w:r>
        <w:t>01</w:t>
      </w:r>
    </w:p>
    <w:p>
      <w:pPr>
        <w:jc w:val="both"/>
      </w:pPr>
      <w:r>
        <w:t>Sỹ quan kỹ thuật điện (*)</w:t>
      </w:r>
    </w:p>
    <w:p>
      <w:pPr>
        <w:jc w:val="both"/>
      </w:pPr>
      <w:r>
        <w:t>01</w:t>
      </w:r>
    </w:p>
    <w:p>
      <w:pPr>
        <w:jc w:val="both"/>
      </w:pPr>
      <w:r>
        <w:t>Thợ máy trực ca AB</w:t>
      </w:r>
    </w:p>
    <w:p>
      <w:pPr>
        <w:jc w:val="both"/>
      </w:pPr>
      <w:r>
        <w:t>01</w:t>
      </w:r>
    </w:p>
    <w:p>
      <w:pPr>
        <w:jc w:val="both"/>
      </w:pPr>
      <w:r>
        <w:t>02</w:t>
      </w:r>
    </w:p>
    <w:p>
      <w:pPr>
        <w:jc w:val="both"/>
      </w:pPr>
      <w:r>
        <w:t>03</w:t>
      </w:r>
    </w:p>
    <w:p>
      <w:pPr>
        <w:jc w:val="both"/>
      </w:pPr>
      <w:r>
        <w:t>Thợ kỹ thuật điện (*)</w:t>
      </w:r>
    </w:p>
    <w:p>
      <w:pPr>
        <w:jc w:val="both"/>
      </w:pPr>
      <w:r>
        <w:t>01</w:t>
      </w:r>
    </w:p>
    <w:p>
      <w:pPr>
        <w:jc w:val="both"/>
      </w:pPr>
      <w:r>
        <w:t>Tổng cộng</w:t>
      </w:r>
    </w:p>
    <w:p>
      <w:pPr>
        <w:jc w:val="both"/>
      </w:pPr>
      <w:r>
        <w:t>01</w:t>
      </w:r>
    </w:p>
    <w:p>
      <w:pPr>
        <w:jc w:val="both"/>
      </w:pPr>
      <w:r>
        <w:t>03</w:t>
      </w:r>
    </w:p>
    <w:p>
      <w:pPr>
        <w:jc w:val="both"/>
      </w:pPr>
      <w:r>
        <w:t>06</w:t>
      </w:r>
    </w:p>
    <w:p>
      <w:pPr>
        <w:jc w:val="both"/>
      </w:pPr>
      <w:r>
        <w:t>07</w:t>
      </w:r>
    </w:p>
    <w:p>
      <w:pPr>
        <w:jc w:val="both"/>
      </w:pPr>
      <w:r>
        <w:t>(*) Các chức danh: sỹ quan kỹ thuật điện và thợ kỹ thuật điện được quy định bắt buộc trong định biên an toàn tối thiểu bộ phận máy kể từ ngày 01 tháng 01 năm 2017."</w:t>
      </w:r>
    </w:p>
    <w:p>
      <w:pPr>
        <w:jc w:val="both"/>
      </w:pPr>
      <w:r>
        <w:rPr>
          <w:b/>
        </w:rPr>
        <w:t>Điều 2. Hiệu lực thi hành</w:t>
      </w:r>
    </w:p>
    <w:p>
      <w:pPr>
        <w:jc w:val="both"/>
      </w:pPr>
      <w:r>
        <w:t>Thông tư này có hiệu lực thi hành kể từ ngày 15 tháng 02 năm 2014.</w:t>
      </w:r>
    </w:p>
    <w:p>
      <w:pPr>
        <w:jc w:val="both"/>
      </w:pPr>
      <w:r>
        <w:rPr>
          <w:b/>
        </w:rPr>
        <w:t>Điều 3. Tổ chức thực hiện</w:t>
      </w:r>
    </w:p>
    <w:p>
      <w:pPr>
        <w:jc w:val="both"/>
      </w:pPr>
      <w:r>
        <w:t>1. Cục Hàng hải Việt Nam có trách nhiệm chủ trì, phối hợp với các cơ quan liên quan tổ chức thực hiện Thông tư này.</w:t>
      </w:r>
    </w:p>
    <w:p>
      <w:pPr>
        <w:jc w:val="both"/>
      </w:pPr>
      <w:r>
        <w:t>2. Chánh Văn phòng Bộ, Chánh Thanh tra Bộ, Vụ trưởng các Vụ thuộc Bộ, Cục trưởng Cục Hàng hải Việt Nam, thủ trưởng các cơ quan, tổ chức và cá nhân có liên quan chịu trách nhiệm thi hành Thông tư này./.</w:t>
      </w:r>
    </w:p>
    <w:p>
      <w:pPr>
        <w:jc w:val="both"/>
      </w:pPr>
      <w:r>
        <w:t>BỘ TRƯỞNG</w:t>
      </w:r>
    </w:p>
    <w:p>
      <w:pPr>
        <w:jc w:val="both"/>
      </w:pPr>
      <w:r>
        <w:t>(Đã ký)</w:t>
      </w:r>
    </w:p>
    <w:p>
      <w:pPr>
        <w:jc w:val="both"/>
      </w:pPr>
      <w:r>
        <w:t>Đinh La Thăng</w:t>
      </w:r>
    </w:p>
    <w:p>
      <w:r>
        <w:rPr>
          <w:i/>
        </w:rPr>
        <w:t>Nguồn: Cơ sở dữ liệu quốc gia về văn bản pháp luật (Bộ Tư pháp). VietSmart Legal, legal.giangpham.asia/van-ban/37840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