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21/2012/TT-BGDĐT</w:t>
      </w:r>
    </w:p>
    <w:p>
      <w:pPr>
        <w:jc w:val="both"/>
      </w:pPr>
      <w:r>
        <w:t>Hà Nội, ngày 15 tháng 6 năm 2012</w:t>
      </w:r>
    </w:p>
    <w:p>
      <w:pPr>
        <w:jc w:val="center"/>
      </w:pPr>
      <w:r>
        <w:rPr>
          <w:b/>
        </w:rPr>
        <w:t>THÔNG TƯ</w:t>
      </w:r>
    </w:p>
    <w:p>
      <w:pPr>
        <w:jc w:val="both"/>
      </w:pPr>
      <w:r>
        <w:t>Ban hành Quy chế tổ chức và hoạt động của trường mầm non dân lập</w:t>
      </w:r>
    </w:p>
    <w:p>
      <w:pPr>
        <w:jc w:val="both"/>
      </w:pPr>
      <w:r>
        <w:t>Căn cứ Luật Giáo dục ngày 14 tháng 6 năm 2005; Luật sửa đổi, bổ sung một số điều của Luật Giáo dục ngày 25 tháng 11 năm 2009;</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và Nghị định số 31/2011/NĐ-CP ngày 11 tháng 5 năm 2011 sửa đổi, bổ sung Nghị định số 75/2011/NĐ-CP ngày 02 tháng 8 năm 2006 quy định chi tiết và hướng dẫn thi hành một số điều của Luật Giáo dục;</w:t>
      </w:r>
    </w:p>
    <w:p>
      <w:pPr>
        <w:jc w:val="both"/>
      </w:pPr>
      <w:r>
        <w:t>Căn cứ Nghị định số 115/2010/NĐ-CP ngày 24 tháng 12 năm 2010 của Chính phủ quy định trách nhiệm quản lý nhà nước về giáo dục.</w:t>
      </w:r>
    </w:p>
    <w:p>
      <w:pPr>
        <w:jc w:val="both"/>
      </w:pPr>
      <w:r>
        <w:t>Theo đề nghị của Vụ trưởng Vụ Giáo dục Mầm non,</w:t>
      </w:r>
    </w:p>
    <w:p>
      <w:pPr>
        <w:jc w:val="both"/>
      </w:pPr>
      <w:r>
        <w:t>Bộ trưởng Bộ Giáo dục và Đào tạo quyết định:</w:t>
      </w:r>
    </w:p>
    <w:p>
      <w:pPr>
        <w:jc w:val="both"/>
      </w:pPr>
      <w:r>
        <w:rPr>
          <w:b/>
        </w:rPr>
        <w:t>Điều 1. Ban hành kèm theo Thông tư này Quy chế tổ chức và hoạt động của trường mầm non dân lập.</w:t>
      </w:r>
    </w:p>
    <w:p>
      <w:pPr>
        <w:jc w:val="both"/>
      </w:pPr>
      <w:r>
        <w:rPr>
          <w:b/>
        </w:rPr>
        <w:t>Điều 2. Thông tư này có hiệu lực thi hành kể từ ngày 02 tháng 8 năm 2012</w:t>
      </w:r>
    </w:p>
    <w:p>
      <w:pPr>
        <w:jc w:val="both"/>
      </w:pPr>
      <w:r>
        <w:rPr>
          <w:b/>
        </w:rPr>
        <w:t>Điều 3. Chánh Văn phòng, Vụ trưởng Vụ Giáo dục Mầm non, Thủ trưởng các đơn vị có liên quan thuộc Bộ Giáo dục và Đào tạo; Chủ tịch Uỷ ban nhân dân các tỉnh, thành phố trực thuộc Trung ương, Giám đốc các sở giáo dục và đào tạo chịu trách nhiệm thi hành Thông tư này./.</w:t>
      </w:r>
    </w:p>
    <w:p>
      <w:pPr>
        <w:jc w:val="both"/>
      </w:pPr>
      <w:r>
        <w:t>KT. BỘ TRƯỞNG</w:t>
      </w:r>
    </w:p>
    <w:p>
      <w:pPr>
        <w:jc w:val="both"/>
      </w:pPr>
      <w:r>
        <w:t>THỨ TRƯỞNG</w:t>
      </w:r>
    </w:p>
    <w:p>
      <w:pPr>
        <w:jc w:val="both"/>
      </w:pPr>
      <w:r>
        <w:t>(Đã ký)</w:t>
      </w:r>
    </w:p>
    <w:p>
      <w:pPr>
        <w:jc w:val="both"/>
      </w:pPr>
      <w:r>
        <w:t>Nguyễn Thị Nghĩa</w:t>
      </w:r>
    </w:p>
    <w:p>
      <w:r>
        <w:rPr>
          <w:i/>
        </w:rPr>
        <w:t>Nguồn: Cơ sở dữ liệu quốc gia về văn bản pháp luật (Bộ Tư pháp). VietSmart Legal, legal.giangpham.asia/van-ban/37809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