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68/2014/NĐ-CP</w:t>
      </w:r>
    </w:p>
    <w:p>
      <w:pPr>
        <w:jc w:val="both"/>
      </w:pPr>
      <w:r>
        <w:t>Hà Nội, ngày 09 tháng 7 năm 2014</w:t>
      </w:r>
    </w:p>
    <w:p>
      <w:pPr>
        <w:jc w:val="center"/>
      </w:pPr>
      <w:r>
        <w:rPr>
          <w:b/>
        </w:rPr>
        <w:t>NGHỊ ĐỊNH</w:t>
      </w:r>
    </w:p>
    <w:p>
      <w:pPr>
        <w:jc w:val="both"/>
      </w:pPr>
      <w:r>
        <w:t>Sửa đổi, bổ sung một số điều của</w:t>
      </w:r>
    </w:p>
    <w:p>
      <w:pPr>
        <w:jc w:val="both"/>
      </w:pPr>
      <w:r>
        <w:t>Nghị định số 45/2007/NĐ-CP ngày 27 tháng 3 năm 2007 của Chính phủ</w:t>
      </w:r>
    </w:p>
    <w:p>
      <w:pPr>
        <w:jc w:val="both"/>
      </w:pPr>
      <w:r>
        <w:t>quy định chi tiết thi hành một số điều của Luật Kinh doanh bảo kiểm</w:t>
      </w:r>
    </w:p>
    <w:p>
      <w:pPr>
        <w:jc w:val="both"/>
      </w:pPr>
      <w:r>
        <w:t>---------------</w:t>
      </w:r>
    </w:p>
    <w:p>
      <w:pPr>
        <w:jc w:val="both"/>
      </w:pPr>
      <w:r>
        <w:t>Căn cứ Luật Tổ chức Chính phủ ngày 25 tháng 12 năm 2001;</w:t>
      </w:r>
    </w:p>
    <w:p>
      <w:pPr>
        <w:jc w:val="both"/>
      </w:pPr>
      <w:r>
        <w:t>C ă n c ứ Lu ậ t Kinh doanh b ả o hi ể m ngày 09 tháng 12 n ă m 2000;</w:t>
      </w:r>
    </w:p>
    <w:p>
      <w:pPr>
        <w:jc w:val="both"/>
      </w:pPr>
      <w:r>
        <w:t>Căn cứ Luật sửa đổi, bổ sung một số điều của Luật Kinh doanh bảo hiểm ngày 24 tháng 11 năm 2010;</w:t>
      </w:r>
    </w:p>
    <w:p>
      <w:pPr>
        <w:jc w:val="both"/>
      </w:pPr>
      <w:r>
        <w:t>Theo đề nghị của Bộ trưởng Bộ Tài chính,</w:t>
      </w:r>
    </w:p>
    <w:p>
      <w:pPr>
        <w:jc w:val="both"/>
      </w:pPr>
      <w:r>
        <w:t>Chính phủ ban hành Nghị định sửa đổi, bổ sung một số điều của Nghị định số 45/2007/NĐ-CP ngày 27 tháng 3 năm 2007 của Chính phủ quy định chi tiết thi hành một số điều của Luật Kinh doanh bảo kiểm,</w:t>
      </w:r>
    </w:p>
    <w:p>
      <w:pPr>
        <w:jc w:val="both"/>
      </w:pPr>
      <w:r>
        <w:rPr>
          <w:b/>
        </w:rPr>
        <w:t>Điều 1. Sửa đổi, bổ sung một số điều của Nghị định số 45/2007/NĐ-CP ngày 27 tháng 3 năm 2007 của Chính phủ quy định chi tiết thi hành một số điều của Luật Kinh doanh bảo hiểm như sau:</w:t>
      </w:r>
    </w:p>
    <w:p>
      <w:pPr>
        <w:jc w:val="both"/>
      </w:pPr>
      <w:r>
        <w:t>"Điều 4. Nghiệp vụ và sản phẩm bảo hiểm</w:t>
      </w:r>
    </w:p>
    <w:p>
      <w:pPr>
        <w:jc w:val="both"/>
      </w:pPr>
      <w:r>
        <w:t>1. Bảo hiểm phi nhân thọ gồm các nghiệp vụ quy định tại Khoản 3 Điều 1 Luật sửa đổi, bổ sung một số điều của Luật Kinh doanh bảo hiểm và nghiệp vụ bảo hiểm bảo lãnh. Bảo hiểm bảo lãnh là hoạt động kinh doanh bảo hiểm theo đó doanh nghiệp bảo hiểm, chi nhánh doanh nghiệp bảo hiểm phi nhân thọ nước ngoài chấp nhận rủi ro của người được bảo lãnh, trên cơ sở người được bảo lãnh đóng phí bảo hiểm để doanh nghiệp bảo hiểm, chi nhánh doanh nghiệp bảo hiểm phi nhân thọ nước ngoài thực hiện nghĩa vụ thay cho bên được bảo lãnh nếu khi đến thời hạn mà bên được bảo lãnh không thực hiện hoặc thực hiện không đúng nghĩa vụ. Bên được bảo lãnh phải nhận nợ và hoàn trả cho doanh nghiệp bảo hiểm, chi nhánh doanh nghiệp bảo hiểm phi nhân thọ nước ngoài theo thỏa thuận tại hợp đồng bảo hiểm. Các bên cũng có thể thỏa thuận về việc doanh nghiệp bảo hiểm, chi nhánh doanh nghiệp bảo hiểm phi nhân thọ nước ngoài chỉ phải thực hiện nghĩa vụ khi bên được bảo lãnh không có khả năng thực hiện nghĩa vụ của mình".</w:t>
      </w:r>
    </w:p>
    <w:p>
      <w:pPr>
        <w:jc w:val="both"/>
      </w:pPr>
      <w:r>
        <w:rPr>
          <w:b/>
        </w:rPr>
        <w:t>Điều 2. Hiệu lực thi hành</w:t>
      </w:r>
    </w:p>
    <w:p>
      <w:pPr>
        <w:jc w:val="both"/>
      </w:pPr>
      <w:r>
        <w:t>Nghị định này có hiệu lực thi hành kể từ ngày 25 tháng 8 năm 2014.</w:t>
      </w:r>
    </w:p>
    <w:p>
      <w:pPr>
        <w:jc w:val="both"/>
      </w:pPr>
      <w:r>
        <w:rPr>
          <w:b/>
        </w:rPr>
        <w:t>Điều 3. Trách nhiệm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legal.giangpham.asia/van-ban/36771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