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04/2012/TT-BKHĐT</w:t>
      </w:r>
    </w:p>
    <w:p>
      <w:pPr>
        <w:jc w:val="both"/>
      </w:pPr>
      <w:r>
        <w:t>Hà Nội, ngày 13 tháng 8 năm 2012</w:t>
      </w:r>
    </w:p>
    <w:p>
      <w:pPr>
        <w:jc w:val="center"/>
      </w:pPr>
      <w:r>
        <w:rPr>
          <w:b/>
        </w:rPr>
        <w:t>THÔNG TƯ</w:t>
      </w:r>
    </w:p>
    <w:p>
      <w:pPr>
        <w:jc w:val="both"/>
      </w:pPr>
      <w:r>
        <w:t>Ban hành Danh mục máy móc, thiết bị, phụ tùng thay thế, phương tiện vận tải chuyên dùng, nguyên liệu, vật tư,</w:t>
      </w:r>
    </w:p>
    <w:p>
      <w:pPr>
        <w:jc w:val="both"/>
      </w:pPr>
      <w:r>
        <w:t>bán thành phẩm trong nước đã sản xuất được</w:t>
      </w:r>
    </w:p>
    <w:p>
      <w:pPr>
        <w:jc w:val="both"/>
      </w:pPr>
      <w:r>
        <w:t>____________________________</w:t>
      </w:r>
    </w:p>
    <w:p>
      <w:pPr>
        <w:jc w:val="both"/>
      </w:pPr>
      <w:r>
        <w:t>Căn cứ Nghị định số 116/2008/NĐ-CP ngày 14/11/2008 quy định chức năng nhiệm vụ của Bộ Kế hoạch và Đầu tư;</w:t>
      </w:r>
    </w:p>
    <w:p>
      <w:pPr>
        <w:jc w:val="both"/>
      </w:pPr>
      <w:r>
        <w:t>Căn cứ Nghị định số 123/2008/NĐ-CP ngày 08/12/2008 quy định chi tiết và hướng dẫn thi hành một số điều của Luật Thuế giá trị gia tăng số 13/2008/QH12 ;</w:t>
      </w:r>
    </w:p>
    <w:p>
      <w:pPr>
        <w:jc w:val="both"/>
      </w:pPr>
      <w:r>
        <w:t>Căn cứ Nghị định số 87/2010/NĐ-CP ngày 13/8/2010 quy định chi tiết thi hành một số điều của Luật Thuế xuất khẩu, Luật Thuế nhập khẩu số 45/2005/QH11 ;</w:t>
      </w:r>
    </w:p>
    <w:p>
      <w:pPr>
        <w:jc w:val="both"/>
      </w:pPr>
      <w:r>
        <w:t>Bộ Kế hoạch và Đầu tư ban hành các danh mục máy móc, thiết bị, phụ tùng thay thế, phương tiện vận tải chuyên dùng, nguyên liệu, vật tư, bán thành phẩm trong nước đã sản xuất được như sau:</w:t>
      </w:r>
    </w:p>
    <w:p>
      <w:pPr>
        <w:jc w:val="both"/>
      </w:pPr>
      <w:r>
        <w:rPr>
          <w:b/>
        </w:rPr>
        <w:t>Điều 1. Ban hành kèm theo Thông tư này các Danh mục sau:</w:t>
      </w:r>
    </w:p>
    <w:p>
      <w:pPr>
        <w:jc w:val="both"/>
      </w:pPr>
      <w:r>
        <w:t>1. Danh mục thiết bị, máy móc, phụ tùng thay thế, phương tiện vận tải chuyên dùng trong nước đã sản xuất được;</w:t>
      </w:r>
    </w:p>
    <w:p>
      <w:pPr>
        <w:jc w:val="both"/>
      </w:pPr>
      <w:r>
        <w:t>2. Danh mục vật tư xây dựng trong nước đã sản xuất được;</w:t>
      </w:r>
    </w:p>
    <w:p>
      <w:pPr>
        <w:jc w:val="both"/>
      </w:pPr>
      <w:r>
        <w:t>3. Danh mục nguyên liệu, vật tư, linh kiện trong nước đã sản xuất được;</w:t>
      </w:r>
    </w:p>
    <w:p>
      <w:pPr>
        <w:jc w:val="both"/>
      </w:pPr>
      <w:r>
        <w:t>4. Danh mục vật tư cần thiết cho hoạt động dầu khí trong nước đã sản xuất được;</w:t>
      </w:r>
    </w:p>
    <w:p>
      <w:pPr>
        <w:jc w:val="both"/>
      </w:pPr>
      <w:r>
        <w:t>5. Danh mục nguyên liệu, vật tư, bán thành phẩm phục vụ cho việc đóng tàu trong nước đã sản xuất được;</w:t>
      </w:r>
    </w:p>
    <w:p>
      <w:pPr>
        <w:jc w:val="both"/>
      </w:pPr>
      <w:r>
        <w:t>6. Danh mục nguyên liệu, vật tư phục vụ trực tiếp cho sản xuất sản phẩm phần mềm trong nước đã sản xuất được.</w:t>
      </w:r>
    </w:p>
    <w:p>
      <w:pPr>
        <w:jc w:val="both"/>
      </w:pPr>
      <w:r>
        <w:rPr>
          <w:b/>
        </w:rPr>
        <w:t>Điều 2. Các Danh mục quy định tại Điều 1 Thông tư này là căn cứ thực hiện miễn, giảm, xác định đối tượng không chịu thuế giá trị gia tăng, thuế nhập khẩu theo quy định tại Nghị định số 87/2010/NĐ-CP ngày 13/8/2010 của Chính phủ quy định chi tiết thi hành một số điều Luật Thuế xuất khẩu, Thuế nhập khẩu và Nghị định số 123/2008/NĐ-CP ngày 08/12/2008 của Chính phủ quy định chi tiết và hướng dẫn thi hành một số điều của Luật Thuế giá trị gia tăng.</w:t>
      </w:r>
    </w:p>
    <w:p>
      <w:pPr>
        <w:jc w:val="both"/>
      </w:pPr>
      <w:r>
        <w:rPr>
          <w:b/>
        </w:rPr>
        <w:t>Điều 3. Nguyên liệu, vật tư, bán thành phẩm trong nước đã sản xuất được là hàng hóa được quy định tại một trong các Danh mục ban hành kèm theo Thông tư này không phụ thuộc mục đích sử dụng, trừ hàng hóa chuyên dùng.</w:t>
      </w:r>
    </w:p>
    <w:p>
      <w:pPr>
        <w:jc w:val="both"/>
      </w:pPr>
      <w:r>
        <w:t>Hàng hóa chuyên dùng quy định tại Điều này là hàng hóa đòi hỏi phải đáp ứng tiêu chuẩn kỹ thuật khi sử dụng nêu trong các chứng chỉ chuyên ngành.</w:t>
      </w:r>
    </w:p>
    <w:p>
      <w:pPr>
        <w:jc w:val="both"/>
      </w:pPr>
      <w:r>
        <w:rPr>
          <w:b/>
        </w:rPr>
        <w:t>Điều 4. Thông tư này có hiệu lực kể từ ngày 01 tháng 10 năm 2012 và thay thế cho Thông tư số 04/2009/TT-BKH ngày 23/7/2009 của Bộ Kế hoạch và Đầu tư hướng dẫn thực hiện một số quy định về thuế nhập khấu, thuế giá trị gia tăng.</w:t>
      </w:r>
    </w:p>
    <w:p>
      <w:pPr>
        <w:jc w:val="both"/>
      </w:pPr>
      <w:r>
        <w:t>Trong quá trình triển khai thực hiện, nếu có vướng mắc, đề nghị phản ánh kịp thời về Bộ Kế hoạch và Đầu tư để nghiên cứu sửa đổi, bổ sung./.</w:t>
      </w:r>
    </w:p>
    <w:p>
      <w:pPr>
        <w:jc w:val="both"/>
      </w:pPr>
      <w:r>
        <w:t>BỘ TRƯỞNG</w:t>
      </w:r>
    </w:p>
    <w:p>
      <w:pPr>
        <w:jc w:val="both"/>
      </w:pPr>
      <w:r>
        <w:t>(Đã ký)</w:t>
      </w:r>
    </w:p>
    <w:p>
      <w:pPr>
        <w:jc w:val="both"/>
      </w:pPr>
      <w:r>
        <w:t>Bùi Quang Vinh</w:t>
      </w:r>
    </w:p>
    <w:p>
      <w:r>
        <w:rPr>
          <w:i/>
        </w:rPr>
        <w:t>Nguồn: Cơ sở dữ liệu quốc gia về văn bản pháp luật (Bộ Tư pháp). VietSmart Legal, legal.giangpham.asia/van-ban/27771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