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81/2010/NĐ-CP ngày 14 tháng 7</w:t>
      </w:r>
    </w:p>
    <w:p>
      <w:pPr>
        <w:jc w:val="both"/>
      </w:pPr>
      <w:r>
        <w:t>năm 2010 của Chính phủ về an ninh hàng không dân dụng</w:t>
      </w:r>
    </w:p>
    <w:p>
      <w:pPr>
        <w:jc w:val="both"/>
      </w:pPr>
      <w:r>
        <w:t>__________________________</w:t>
      </w:r>
    </w:p>
    <w:p>
      <w:pPr>
        <w:jc w:val="both"/>
      </w:pPr>
      <w:r>
        <w:t>Căn cứ Luật Tổ chức Chính phủ ngày 25 tháng 12 năm 2001;</w:t>
      </w:r>
    </w:p>
    <w:p>
      <w:pPr>
        <w:jc w:val="both"/>
      </w:pPr>
      <w:r>
        <w:t>Căn cứ Luật Hàng không dân dụng Việt Nam ngày 29 tháng 6 năm 2006;</w:t>
      </w:r>
    </w:p>
    <w:p>
      <w:pPr>
        <w:jc w:val="both"/>
      </w:pPr>
      <w:r>
        <w:t>Xét đề nghị của Bộ trưởng Bộ Giao thông vận tải;</w:t>
      </w:r>
    </w:p>
    <w:p>
      <w:pPr>
        <w:jc w:val="both"/>
      </w:pPr>
      <w:r>
        <w:t>Chính phủ ban hành Nghị định về sửa đổi, bổ sung một số điều của Nghị định số 81/2010/NĐ-CP ngày 14 tháng 7 năm 2010 của Chính phủ về an ninh hàng không dân dụng,</w:t>
      </w:r>
    </w:p>
    <w:p>
      <w:pPr>
        <w:jc w:val="both"/>
      </w:pPr>
      <w:r>
        <w:rPr>
          <w:b/>
        </w:rPr>
        <w:t>Điều 1. Sửa đổi, bổ sung Khoản 3 Điều 5 của Nghị định số 81/2010/NĐ-CP ngày 14 tháng 7 năm 2010 của Chính phủ quy định về an ninh hàng không dân dụng với nội dung sau đây:</w:t>
      </w:r>
    </w:p>
    <w:p>
      <w:pPr>
        <w:jc w:val="both"/>
      </w:pPr>
      <w:r>
        <w:t>“3. Trừ trường hợp hành khách đi tàu bay hoặc trường hợp khẩn cấp liên quan đến an ninh hàng không dân dụng thì người, phương tiện ra, vào và hoạt động tại khu vực hạn chế tại cảng hàng không, sân bay phải có thẻ kiểm soát an ninh hàng không dân dụng, giấy phép kiểm soát an ninh hàng không dân dụng do Cục Hàng không Việt Nam, Cảng vụ hàng không liên quan, Người khai thác cảng hàng không, sân bay cấp:</w:t>
      </w:r>
    </w:p>
    <w:p>
      <w:pPr>
        <w:jc w:val="both"/>
      </w:pPr>
      <w:r>
        <w:t>a) Cục Hàng không Việt Nam cấp thẻ kiểm soát an ninh hàng không dân dụng có giá trị vào các cảng hàng không, sân bay thuộc phạm vi quản lý của từ hai Cảng vụ khu vực khác nhau trở lên;</w:t>
      </w:r>
    </w:p>
    <w:p>
      <w:pPr>
        <w:jc w:val="both"/>
      </w:pPr>
      <w:r>
        <w:t>b) Người khai thác cảng hàng không, sân bay cấp thẻ kiểm soát an ninh hàng không dân dụng, giấy phép kiểm soát an ninh hàng không dân dụng có giá trị vào các cảng hàng không, sân bay thuộc phạm vi quản lý của người khai thác cảng cho cán bộ, nhân viên và phương tiện, thiết bị thuộc quyền quản lý, sử dụng của người khai thác;</w:t>
      </w:r>
    </w:p>
    <w:p>
      <w:pPr>
        <w:jc w:val="both"/>
      </w:pPr>
      <w:r>
        <w:t>c) Cảng vụ hàng không liên quan cấp thẻ kiểm soát an ninh hàng không dân dụng, giấy phép kiểm soát an ninh hàng không dân dụng có giá trị vào các cảng hàng không sân bay thuộc phạm vi quản lý của Cảng vụ cho các đối tượng không được quy định tại Điểm b Khoản 3 Điều này;</w:t>
      </w:r>
    </w:p>
    <w:p>
      <w:pPr>
        <w:jc w:val="both"/>
      </w:pPr>
      <w:r>
        <w:t>d) Cục Hàng không Việt Nam thống nhất với cơ quan liên quan về việc cấp và sử dụng thẻ kiểm soát an ninh hàng không dân dụng cho cán bộ, nhân viên của các cơ quan quản lý nhà nước khác tại cảng hàng không, sân bay.”</w:t>
      </w:r>
    </w:p>
    <w:p>
      <w:pPr>
        <w:jc w:val="both"/>
      </w:pPr>
      <w:r>
        <w:rPr>
          <w:b/>
        </w:rPr>
        <w:t>Điều 2. Tổ chức thực hiện</w:t>
      </w:r>
    </w:p>
    <w:p>
      <w:pPr>
        <w:jc w:val="both"/>
      </w:pPr>
      <w:r>
        <w:t>1. Nghị định này có hiệu lực thi hành kể từ ngày 01 tháng 8 năm 2012.</w:t>
      </w:r>
    </w:p>
    <w:p>
      <w:pPr>
        <w:jc w:val="both"/>
      </w:pPr>
      <w:r>
        <w:t>2. Các Bộ trưởng, Thủ trưởng cơ quan ngang Bộ, Thủ trưởng cơ quan thuộc Chính phủ, Chủ tịch Ủy ban nhân dân tỉnh, thành phố trực thuộc Trung ương, các doanh nghiệp, cá nhân có liên quan chịu trách nhiệm thi hành Nghị định này./.</w:t>
      </w:r>
    </w:p>
    <w:p>
      <w:r>
        <w:rPr>
          <w:i/>
        </w:rPr>
        <w:t>Nguồn: Cơ sở dữ liệu quốc gia về văn bản pháp luật (Bộ Tư pháp). VietSmart Legal, legal.giangpham.asia/van-ban/27598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