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05/2012/TT-BKHCN</w:t>
      </w:r>
    </w:p>
    <w:p>
      <w:pPr>
        <w:jc w:val="both"/>
      </w:pPr>
      <w:r>
        <w:t>Hà Nội, ngày 12 tháng 03 năm 2012</w:t>
      </w:r>
    </w:p>
    <w:p>
      <w:pPr>
        <w:jc w:val="center"/>
      </w:pPr>
      <w:r>
        <w:rPr>
          <w:b/>
        </w:rPr>
        <w:t>THÔNG TƯ</w:t>
      </w:r>
    </w:p>
    <w:p>
      <w:pPr>
        <w:jc w:val="both"/>
      </w:pPr>
      <w:r>
        <w:t>Về việc sửa đổi, bổ sung Điều 1 Quyết định số 05/2005/QĐ-BKHCN ngày 11 tháng 5 năm 2005</w:t>
      </w:r>
    </w:p>
    <w:p>
      <w:pPr>
        <w:jc w:val="both"/>
      </w:pPr>
      <w:r>
        <w:t>của Bộ trưởng Bộ Khoa học và Công nghệ về việc sửa đổi, bổ sung Quyết định số 28/2004/QĐ-BKHCN</w:t>
      </w:r>
    </w:p>
    <w:p>
      <w:pPr>
        <w:jc w:val="both"/>
      </w:pPr>
      <w:r>
        <w:t>ngày 01 tháng 10 năm 2004 về phương pháp xác định tỷ lệ nội địa hóa đối với ô tô</w:t>
      </w:r>
    </w:p>
    <w:p>
      <w:pPr>
        <w:jc w:val="both"/>
      </w:pPr>
      <w:r>
        <w:t>_______________________</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Quyết định số 175/2002/QĐ-TTg ngày 03 tháng 12 năm 2002 của Thủ tướng Chính phủ phê duyệt Chiến lược phát triển ngành công nghiệp ôtô Việt Nam đến năm 2010, tầm nhìn đến năm 2020;</w:t>
      </w:r>
    </w:p>
    <w:p>
      <w:pPr>
        <w:jc w:val="both"/>
      </w:pPr>
      <w:r>
        <w:t>Căn cứ Quyết định số 177/2004/QĐ-TTg ngày 05 tháng 10 năm 2004 của Thủ tướng Chính phủ về việc phê duyệt Quy hoạch phát triển ngành công nghiệp ôtô Việt Nam đến năm 2010, tầm nhìn đến 2020;</w:t>
      </w:r>
    </w:p>
    <w:p>
      <w:pPr>
        <w:jc w:val="both"/>
      </w:pPr>
      <w:r>
        <w:t>Xét đề nghị của Tổng cục trưởng Tổng cục Tiêu chuẩn Đo lường Chất lượng;</w:t>
      </w:r>
    </w:p>
    <w:p>
      <w:pPr>
        <w:jc w:val="both"/>
      </w:pPr>
      <w:r>
        <w:t>Bộ trưởng Bộ Khoa học và Công nghệ ban hành Thông tư sửa đổi, bổ sung Điều 1 Quyết định số 05/2005/QĐ-BKHCN ngày 11 tháng 5 năm 2005 của Bộ trưởng Bộ Khoa học và Công nghệ về việc sửa đổi, bổ sung Quyết định số 28/2004/QĐ-BKHCN ngày 01 tháng 10 năm 2004 về phương pháp xác định tỷ lệ nội địa hóa đối với ô tô,</w:t>
      </w:r>
    </w:p>
    <w:p>
      <w:pPr>
        <w:jc w:val="both"/>
      </w:pPr>
      <w:r>
        <w:rPr>
          <w:b/>
        </w:rPr>
        <w:t>Điều 1. Sửa đổi, bổ sung Điều 1 Quyết định số 05/2005/QĐ-BKHCN ngày 11 tháng 5 năm 2005 của Bộ trưởng Bộ Khoa học và Công nghệ về việc sửa đổi, bổ sung Quyết định số 28/2004/QĐ-BKHCN ngày 01 tháng 10 năm 2004 về phương pháp xác định tỷ lệ nội địa hóa đối với ô tô</w:t>
      </w:r>
    </w:p>
    <w:p>
      <w:pPr>
        <w:jc w:val="both"/>
      </w:pPr>
      <w:r>
        <w:rPr>
          <w:b/>
        </w:rPr>
        <w:t>Điều 1. Quyết định số 05/2005/QĐ-BKHCN ngày 11 tháng 5 năm 2005 của Bộ trưởng Bộ Khoa học và Công nghệ về việc sửa đổi, bổ sung Quyết định số 28/2004/QĐ-BKHCN ngày 01 tháng 10 năm 2004 về phương pháp xác định tỷ lệ nội địa hóa đối với ô tô được sửa đổi, bổ sung như sau:</w:t>
      </w:r>
    </w:p>
    <w:p>
      <w:pPr>
        <w:jc w:val="both"/>
      </w:pPr>
      <w:r>
        <w:t>"Điều 1. Sửa đổi, bổ sung khoản 4 Điều 5 Quyết định số 28/2004/QĐ-BKHCN ngày 01 tháng 10 năm 2004 của Bộ trưởng Bộ Khoa học và Công nghệ về phương pháp xác định tỷ lệ nội địa hóa đối với ô tô như sau:</w:t>
      </w:r>
    </w:p>
    <w:p>
      <w:pPr>
        <w:jc w:val="both"/>
      </w:pPr>
      <w:r>
        <w:t>4. Các linh kiện ôtô do doanh nghiệp trực tiếp nhập khẩu hoặc mua của các doanh nghiệp thương mại nhập khẩu thì không được tính là nội địa hóa.</w:t>
      </w:r>
    </w:p>
    <w:p>
      <w:pPr>
        <w:jc w:val="both"/>
      </w:pPr>
      <w:r>
        <w:t>a) Mức độ rời rạc của các linh kiện ôtô nhập khẩu được quy định như sau: - Thân vỏ ôtô (đối với ôtô con (xe du lịch), ôtô khách cỡ nhỏ (xe minibus), ôtô khách (xe bus), ca bin (đối với ôtô tải): Rời tối thiểu thành 06 cụm chính, chưa sơn tĩnh điện, bao gồm: cụm nóc, cụm sàn, cụm sườn trái, cụm sườn phải, cụm trước, cụm sau và các mảng liên kết (nếu có). - Khung ôtô: Đã liên kết với nhau và chưa sơn tĩnh điện. Đối với khung ôtô có chiều dài từ 3,7m trở lên, được phép sơn tĩnh điện trước khi nhập khẩu. - Động cơ: Hoàn chỉnh và có thể lắp liền với bộ ly hợp và hộp số. - Hệ thống truyền động: Đã hoặc chưa lắp cùng với hệ thống phanh. - Hệ thống điện, đèn và tiện nghi: Hệ thống dây điện, bảng điện, đèn và tiện nghi của ôtô để rời khỏi thân vỏ, cabin ôtô. - Thùng của ôtô tải: Sàn thùng xe, thành phải thùng xe, thành trái thùng xe, thành sau thùng xe và thành trước thùng của ôtô tải để rời chưa sơn và sàn thùng xe chưa được gắn với hệ thống khung phụ khi nhập khẩu.</w:t>
      </w:r>
    </w:p>
    <w:p>
      <w:pPr>
        <w:jc w:val="both"/>
      </w:pPr>
      <w:r>
        <w:t>b) Trường hợp mức độ rời rạc của linh kiện ôtô không đáp ứng quy định tại điểm a khoản này do công nghệ sản xuất ôtô và phụ tùng ôtô thay đổi hoặc do kết cấu ôtô và phụ tùng có tính mới, mức độ rời rạc của các linh kiện ôtô nhập khẩu phải được sự chấp thuận của Bộ Khoa học và Công nghệ.</w:t>
      </w:r>
    </w:p>
    <w:p>
      <w:pPr>
        <w:jc w:val="both"/>
      </w:pPr>
      <w:r>
        <w:t>c) Các Phụ lục 5, 6, 7, 8 ban hành kèm theo Quyết định này chỉ có tính chất minh họa, không dùng làm cơ sở để xác định mức độ rời rạc về mặt kết cấu của các linh kiện đối với ôtô các loại.".</w:t>
      </w:r>
    </w:p>
    <w:p>
      <w:pPr>
        <w:jc w:val="both"/>
      </w:pPr>
      <w:r>
        <w:rPr>
          <w:b/>
        </w:rPr>
        <w:t>Điều 2. Trách nhiệm tổ chức thực hiện</w:t>
      </w:r>
    </w:p>
    <w:p>
      <w:pPr>
        <w:jc w:val="both"/>
      </w:pPr>
      <w:r>
        <w:t>Tổng cục Tiêu chuẩn Đo lường Chất lượng có trách nhiệm hướng dẫn, tổ chức triển khai thực hiện Thông tư này.</w:t>
      </w:r>
    </w:p>
    <w:p>
      <w:pPr>
        <w:jc w:val="both"/>
      </w:pPr>
      <w:r>
        <w:rPr>
          <w:b/>
        </w:rPr>
        <w:t>Điều 3. Điều khoản thi hành</w:t>
      </w:r>
    </w:p>
    <w:p>
      <w:pPr>
        <w:jc w:val="both"/>
      </w:pPr>
      <w:r>
        <w:t>1. Thông tư này có hiệu lực kể từ ngày 30 tháng 4 năm 2012.</w:t>
      </w:r>
    </w:p>
    <w:p>
      <w:pPr>
        <w:jc w:val="both"/>
      </w:pPr>
      <w:r>
        <w:t>2. Tổng cục trưởng Tổng cục Tiêu chuẩn Đo lường Chất lượng, Vụ trưởng Vụ Đánh giá, Thẩm định và Giám định công nghệ, Vụ trưởng Vụ Pháp chế, Cục trưởng Cục Ứng dụng và Phát triển công nghệ, Chánh Văn phòng Bộ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legal.giangpham.asia/van-ban/27493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