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05/2012/TT-BTP</w:t>
      </w:r>
    </w:p>
    <w:p>
      <w:pPr>
        <w:jc w:val="both"/>
      </w:pPr>
      <w:r>
        <w:t>Hà Nội, Ngày 23 tháng 5 năm 2012</w:t>
      </w:r>
    </w:p>
    <w:p>
      <w:pPr>
        <w:jc w:val="center"/>
      </w:pPr>
      <w:r>
        <w:rPr>
          <w:b/>
        </w:rPr>
        <w:t>THÔNG TƯ</w:t>
      </w:r>
    </w:p>
    <w:p>
      <w:pPr>
        <w:jc w:val="both"/>
      </w:pPr>
      <w:r>
        <w:t>Sửa đổi, bổ sung một số điều của Thông tư số 08.a/2010/TT-BTP</w:t>
      </w:r>
    </w:p>
    <w:p>
      <w:pPr>
        <w:jc w:val="both"/>
      </w:pPr>
      <w:r>
        <w:t>ngày 25 tháng 3 năm 2010 của Bộ Tư pháp về việc ban hành và hướng dẫn</w:t>
      </w:r>
    </w:p>
    <w:p>
      <w:pPr>
        <w:jc w:val="both"/>
      </w:pPr>
      <w:r>
        <w:t>việc ghi chép, lưu trữ, sử dụng sổ, biểu mẫu hộ tịch</w:t>
      </w:r>
    </w:p>
    <w:p>
      <w:pPr>
        <w:jc w:val="both"/>
      </w:pPr>
      <w:r>
        <w:t>________________________</w:t>
      </w:r>
    </w:p>
    <w:p>
      <w:pPr>
        <w:jc w:val="both"/>
      </w:pPr>
      <w:r>
        <w:t>Căn cứ Nghị định số 158/2005/NĐ-CP ngày 27 tháng 12 năm 2005 của Chính phủ về đăng ký và quản lý hộ tịch;</w:t>
      </w:r>
    </w:p>
    <w:p>
      <w:pPr>
        <w:jc w:val="both"/>
      </w:pPr>
      <w:r>
        <w:t>Căn cứ Nghị định số 68/2002/NĐ-CP ngày 10 tháng 7 năm 2002 của Chính phủ quy định chi tiết thi hành một số điều của Luật Hôn nhân và gia đình về quan hệ hôn nhân và gia đình có yếu tố nước ngoài và Nghị định số 69/2006/NĐ-CP ngày 21 tháng 7 năm 2006 của Chính phủ sửa đổi, bổ sung một số điều của Nghị định số 68/2002/NĐ-CP ;</w:t>
      </w:r>
    </w:p>
    <w:p>
      <w:pPr>
        <w:jc w:val="both"/>
      </w:pPr>
      <w:r>
        <w:t>Căn cứ Nghị định số 06/2012/NĐ-CP ngày 02 tháng 02 năm 2012 s ửa đổi, bổ sung một số điều của các Nghị định về hộ tịch, hôn nhân và gia đình và chứng thực;</w:t>
      </w:r>
    </w:p>
    <w:p>
      <w:pPr>
        <w:jc w:val="both"/>
      </w:pPr>
      <w:r>
        <w:t>Căn cứ Nghị định số 93/2008/NĐ-CP ngày 22 tháng 8 năm 2008 của Chính phủ quy định chức năng, nhiệm vụ, quyền hạn và cơ cấu tổ chức của Bộ Tư pháp;</w:t>
      </w:r>
    </w:p>
    <w:p>
      <w:pPr>
        <w:jc w:val="both"/>
      </w:pPr>
      <w:r>
        <w:t>Bộ trưởng Bộ Tư pháp ban hành Thông tư sửa đổi, bổ sung một số điều của Thông tư số 08.a/2010/TT-BTP ngày 25 tháng 3 năm 2010 về việc ban hành và hướng dẫn việc ghi chép, lưu trữ, sử dụng sổ, biểu mẫu hộ tịch như sau.</w:t>
      </w:r>
    </w:p>
    <w:p>
      <w:pPr>
        <w:jc w:val="both"/>
      </w:pPr>
      <w:r>
        <w:rPr>
          <w:b/>
        </w:rPr>
        <w:t>Điều 1. Những nội dung sửa đổi, bổ sung</w:t>
      </w:r>
    </w:p>
    <w:p>
      <w:pPr>
        <w:jc w:val="both"/>
      </w:pPr>
      <w:r>
        <w:t>1. Điều 3 được sửa đổi như sau:</w:t>
      </w:r>
    </w:p>
    <w:p>
      <w:pPr>
        <w:jc w:val="both"/>
      </w:pPr>
      <w:r>
        <w:t>"Điều 3. Ban hành sổ, biểu mẫu hộ tịch</w:t>
      </w:r>
    </w:p>
    <w:p>
      <w:pPr>
        <w:jc w:val="both"/>
      </w:pPr>
      <w:r>
        <w:t>Ban hành 05 loại sổ hộ tịch và 66 loại biểu mẫu hộ tịch theo danh mục kèm theo Thông tư này.</w:t>
      </w:r>
    </w:p>
    <w:p>
      <w:pPr>
        <w:jc w:val="both"/>
      </w:pPr>
      <w:r>
        <w:t>Kích cỡ của 05 loại sổ hộ tịch và 66 loại biểu mẫu hộ tịch được thống nhất sử dụng khổ giấy (210 x 297mm)".</w:t>
      </w:r>
    </w:p>
    <w:p>
      <w:pPr>
        <w:jc w:val="both"/>
      </w:pPr>
      <w:r>
        <w:t>2. Khoản 2 Điều 4 được sửa đổi như sau :</w:t>
      </w:r>
    </w:p>
    <w:p>
      <w:pPr>
        <w:jc w:val="both"/>
      </w:pPr>
      <w:r>
        <w:t>"2. Đăng tải trên Cổng thông tin điện tử Bộ Tư pháp 61 biểu mẫu hộ tịch đen trắng, không có hoa văn (bao gồm các biểu mẫu bản chính còn lại; tất cả các biểu mẫu bản sao, biểu mẫu tờ khai và biểu mẫu khác), bao gồm:</w:t>
      </w:r>
    </w:p>
    <w:p>
      <w:pPr>
        <w:jc w:val="both"/>
      </w:pPr>
      <w:r>
        <w:t>a) 55 biểu mẫu hộ tịch sử dụng để đăng ký các sự kiện hộ tịch theo quy định tại Nghị định số 158/2005/NĐ-CP, theo Mục A Danh mục II kèm theo Thông tư này.</w:t>
      </w:r>
    </w:p>
    <w:p>
      <w:pPr>
        <w:jc w:val="both"/>
      </w:pPr>
      <w:r>
        <w:t>b) 06 biểu mẫu hộ tịch sử dụng để đăng ký các sự kiện hộ tịch theo quy định tại Nghị định số 68/2002/NĐ-CP và Nghị định số 69/2006/NĐ-CP, theo Mục B Danh mục II kèm theo Thông tư này.</w:t>
      </w:r>
    </w:p>
    <w:p>
      <w:pPr>
        <w:jc w:val="both"/>
      </w:pPr>
      <w:r>
        <w:t>Cơ quan đăng ký hộ tịch và người có yêu cầu đăng ký hộ tịch được tự truy cập trên Cổng thông tin điện tử của Bộ Tư pháp (www.moj.gov.vn) để in và sử dụng miễn phí 61 biểu mẫu theo hướng dẫn tại điểm a và điểm b khoản này. Đối với những địa phương chưa có điều kiện sử dụng Internet, Sở Tư pháp chủ động tổ chức in, phát hành miễn phí các biểu mẫu hộ tịch này, đáp ứng đầy đủ yêu cầu sử dụng biểu mẫu hộ tịch trong địa phương".</w:t>
      </w:r>
    </w:p>
    <w:p>
      <w:pPr>
        <w:jc w:val="both"/>
      </w:pPr>
      <w:r>
        <w:rPr>
          <w:b/>
        </w:rPr>
        <w:t>Điều 2. Điều khoản thi hành</w:t>
      </w:r>
    </w:p>
    <w:p>
      <w:pPr>
        <w:jc w:val="both"/>
      </w:pPr>
      <w:r>
        <w:t>1. Thông tư này có hiệu lực thi hành từ ngày 10 tháng 7 năm 2012.</w:t>
      </w:r>
    </w:p>
    <w:p>
      <w:pPr>
        <w:jc w:val="both"/>
      </w:pPr>
      <w:r>
        <w:t>2. Trong quá trình triển khai thực hiện, nếu có vướng mắc, đề nghị phản ánh kịp thời về Bộ Tư pháp để nghiên cứu sửa đổi, bổ sung.</w:t>
      </w:r>
    </w:p>
    <w:p>
      <w:pPr>
        <w:jc w:val="both"/>
      </w:pPr>
      <w:r>
        <w:t>KT. BỘ TRƯỞNG</w:t>
      </w:r>
    </w:p>
    <w:p>
      <w:pPr>
        <w:jc w:val="both"/>
      </w:pPr>
      <w:r>
        <w:t>THỨ TRƯỞNG</w:t>
      </w:r>
    </w:p>
    <w:p>
      <w:pPr>
        <w:jc w:val="both"/>
      </w:pPr>
      <w:r>
        <w:t>Đinh Trung Tụng</w:t>
      </w:r>
    </w:p>
    <w:p>
      <w:r>
        <w:rPr>
          <w:i/>
        </w:rPr>
        <w:t>Nguồn: Cơ sở dữ liệu quốc gia về văn bản pháp luật (Bộ Tư pháp). VietSmart Legal, legal.giangpham.asia/van-ban/27486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