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103/2011/NĐ-CP</w:t>
      </w:r>
    </w:p>
    <w:p>
      <w:pPr>
        <w:jc w:val="both"/>
      </w:pPr>
      <w:r>
        <w:t>Hà Nội, ngày 15 tháng 11 năm 2011</w:t>
      </w:r>
    </w:p>
    <w:p>
      <w:pPr>
        <w:jc w:val="center"/>
      </w:pPr>
      <w:r>
        <w:rPr>
          <w:b/>
        </w:rPr>
        <w:t>NGHỊ ĐỊNH</w:t>
      </w:r>
    </w:p>
    <w:p>
      <w:pPr>
        <w:jc w:val="both"/>
      </w:pPr>
      <w:r>
        <w:t>Sửa đổi, bổ sung một số điều của Nghị định số 133/2008/NĐ-CP ngày 31 tháng 12 năm 2008 của Chính phủ</w:t>
      </w:r>
    </w:p>
    <w:p>
      <w:pPr>
        <w:jc w:val="both"/>
      </w:pPr>
      <w:r>
        <w:t>quy định chi tiết và hướng dẫn thi hành một số điều của Luật Chuyển giao công nghệ</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Chuyển giao công nghệ ngày 29 tháng 11 năm 2006;</w:t>
      </w:r>
    </w:p>
    <w:p>
      <w:pPr>
        <w:jc w:val="both"/>
      </w:pPr>
      <w:r>
        <w:t>Xét đề nghị của Bộ trưởng Bộ Khoa học và Công nghệ,</w:t>
      </w:r>
    </w:p>
    <w:p>
      <w:pPr>
        <w:jc w:val="center"/>
      </w:pPr>
      <w:r>
        <w:rPr>
          <w:b/>
        </w:rPr>
        <w:t>NGHỊ ĐỊNH:</w:t>
      </w:r>
    </w:p>
    <w:p>
      <w:pPr>
        <w:jc w:val="both"/>
      </w:pPr>
      <w:r>
        <w:rPr>
          <w:b/>
        </w:rPr>
        <w:t>Điều 1. Sửa đổi, bổ sung một số điều của Nghị định số 133/2008/NĐ-CP ngày 31 tháng 12 năm 2008 của Chính phủ quy định chi tiết và hướng dẫn thi hành một số điều của Luật Chuyển giao công nghệ (sau đây viết tắt là Nghị định số 133/2008/NĐ-CP )</w:t>
      </w:r>
    </w:p>
    <w:p>
      <w:pPr>
        <w:jc w:val="both"/>
      </w:pPr>
      <w:r>
        <w:t>1. Điểm b khoản 1 Điều 7 và điểm d khoản 2 Điều 12 được sửa đổi, bổ sung như sau:</w:t>
      </w:r>
    </w:p>
    <w:p>
      <w:pPr>
        <w:jc w:val="both"/>
      </w:pPr>
      <w:r>
        <w:t>"Bản gốc hoặc bản sao có chứng thực hợp đồng chuyển giao công nghệ bằng tiếng Việt và tiếng nước ngoài. Trong trường hợp các bên tham gia chuyển giao công nghệ là tổ chức, cá nhân Việt Nam thì chỉ cần bản hợp đồng chuyển giao công nghệ bằng tiếng Việt. Hợp đồng phải được các bên ký kết, đóng dấu và có chữ ký tắt của các bên, đóng dấu giáp lai vào các trang của hợp đồng và phụ lục nếu một trong các bên tham gia hợp đồng là tổ chức".</w:t>
      </w:r>
    </w:p>
    <w:p>
      <w:pPr>
        <w:jc w:val="both"/>
      </w:pPr>
      <w:r>
        <w:t>2. Điểm a khoản 2 Điều 8 được sửa đổi, bổ sung như sau:</w:t>
      </w:r>
    </w:p>
    <w:p>
      <w:pPr>
        <w:jc w:val="both"/>
      </w:pPr>
      <w:r>
        <w:t>"Đơn đề nghị sửa đổi, bổ sung hợp đồng chuyển giao công nghệ theo mẫu nêu tại Phụ lục ban hành kèm theo Nghị định sửa đổi, bổ sung một số điều của Nghị định số 133/2008/NĐ-CP ".</w:t>
      </w:r>
    </w:p>
    <w:p>
      <w:pPr>
        <w:jc w:val="both"/>
      </w:pPr>
      <w:r>
        <w:t>3. Điểm b khoản 2 Điều 8 được sửa đổi, bổ sung như sau:</w:t>
      </w:r>
    </w:p>
    <w:p>
      <w:pPr>
        <w:jc w:val="both"/>
      </w:pPr>
      <w:r>
        <w:t>"Bản gốc hoặc bản sao có chứng thực hợp đồng sửa đổi, bổ sung bằng tiếng Việt và tiếng nước ngoài. Trong trường hợp các bên tham gia chuyển giao công nghệ là tổ chức, cá nhân Việt Nam thì chỉ cần bản hợp đồng chuyển giao công nghệ sửa đổi, bổ sung bằng tiếng Việt. Hợp đồng phải được các bên ký kết, đóng dấu và có chữ ký tắt của các bên, đóng dấu giáp lai vào các trang của hợp đồng và phụ lục nếu một trong các bên tham gia hợp đồng là tổ chức".</w:t>
      </w:r>
    </w:p>
    <w:p>
      <w:pPr>
        <w:jc w:val="both"/>
      </w:pPr>
      <w:r>
        <w:t>4. Khoản 3 Điều 8 được sửa đổi, bổ sung như sau:</w:t>
      </w:r>
    </w:p>
    <w:p>
      <w:pPr>
        <w:jc w:val="both"/>
      </w:pPr>
      <w:r>
        <w:t>"Hồ sơ đăng ký sửa đổi, bổ sung hợp đồng chuyển giao công nghệ được lập thành 03 bộ, trong đó 01 bộ hồ sơ gốc và 02 bộ sao chụp. Bên nhận công nghệ (trong trường hợp chuyển giao công nghệ từ nước ngoài vào Việt Nam và chuyển giao công nghệ trong nước) hoặc bên giao công nghệ (trong trường hợp chuyển giao công nghệ từ Việt Nam ra nước ngoài) thay mặt các bên gửi đến cơ quan đã cấp Giấy chứng nhận đăng ký hợp đồng chuyển giao công nghệ đề nghị cấp Giấy chứng nhận đăng ký sửa đổi, bổ sung".</w:t>
      </w:r>
    </w:p>
    <w:p>
      <w:pPr>
        <w:jc w:val="both"/>
      </w:pPr>
      <w:r>
        <w:t>5. Bổ sung khoản 4 Điều 8 như sau:</w:t>
      </w:r>
    </w:p>
    <w:p>
      <w:pPr>
        <w:jc w:val="both"/>
      </w:pPr>
      <w:r>
        <w:t>"4. Trong thời hạn 07 ngày làm việc, kể từ ngày nhận được hồ sơ hợp lệ, cơ quan có thẩm quyền quy định tại khoản 1 Điều 8 Nghị định này xem xét cấp Giấy chứng nhận đăng ký sửa đổi, bổ sung hợp đồng chuyển giao công nghệ, trường hợp không cấp Giấy chứng nhận đăng ký sửa đổi, bổ sung hợp đồng chuyển giao công nghệ thì cơ quan có thẩm quyền phải trả lời bằng văn bản và nêu rõ lý do".</w:t>
      </w:r>
    </w:p>
    <w:p>
      <w:pPr>
        <w:jc w:val="both"/>
      </w:pPr>
      <w:r>
        <w:t>6. Khoản 2 Điều 10 được sửa đổi, bổ sung như sau:</w:t>
      </w:r>
    </w:p>
    <w:p>
      <w:pPr>
        <w:jc w:val="both"/>
      </w:pPr>
      <w:r>
        <w:t>"Tổ chức, cá nhân có nhu cầu tiếp nhận hoặc chuyển giao công nghệ thuộc Danh mục công nghệ hạn chế chuyển giao gửi hồ sơ đến Bộ Khoa học và Công nghệ để xin chấp thuận chuyển giao công nghệ. Bên nhận công nghệ (trong trường hợp chuyển giao công nghệ từ nước ngoài vào Việt Nam và chuyển giao công nghệ trong nước) hoặc bên giao công nghệ (trong trường hợp chuyển giao công nghệ từ Việt Nam ra nước ngoài) thay mặt các bên gửi 01 bộ hồ sơ đề nghị chấp thuận chuyển giao công nghệ đến Bộ Khoa học và Công nghệ đề nghị chấp thuận công nghệ chuyển giao".</w:t>
      </w:r>
    </w:p>
    <w:p>
      <w:pPr>
        <w:jc w:val="both"/>
      </w:pPr>
      <w:r>
        <w:rPr>
          <w:b/>
        </w:rPr>
        <w:t>Điều 2. Hiệu lực và trách nhiệm thi hành</w:t>
      </w:r>
    </w:p>
    <w:p>
      <w:pPr>
        <w:jc w:val="both"/>
      </w:pPr>
      <w:r>
        <w:t>1. Nghị định này có hiệu lực thi hành kể từ ngày 01 tháng 01 năm 2012.</w:t>
      </w:r>
    </w:p>
    <w:p>
      <w:pPr>
        <w:jc w:val="both"/>
      </w:pPr>
      <w:r>
        <w:t>2. 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legal.giangpham.asia/van-ban/27074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