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quản lý mẫu bệnh phẩm bệnh truyền nhiễm</w:t>
      </w:r>
    </w:p>
    <w:p>
      <w:pPr>
        <w:jc w:val="both"/>
      </w:pPr>
      <w:r>
        <w:t>__________________</w:t>
      </w:r>
    </w:p>
    <w:p>
      <w:pPr>
        <w:jc w:val="both"/>
      </w:pPr>
      <w:r>
        <w:t>Căn cứ Nghị định số 188/2007/NĐ-CP ngày 27/12/2007 của Chính phủ quy định về chức năng, nhiệm vụ, quyền hạn và cơ cấu tổ chức của Bộ Y tế và Nghị định số 22/2010/NĐ-CP ngày 09/3/2010 của Chính phủ sửa đổi, bổ sung Điều 3 Nghị định số 188/2007/NĐ-CP ngày 27/12/2007 của Chính phủ quy định về chức năng, nhiệm vụ, quyền hạn và cơ cấu tổ chức của Bộ Y tế;</w:t>
      </w:r>
    </w:p>
    <w:p>
      <w:pPr>
        <w:jc w:val="both"/>
      </w:pPr>
      <w:r>
        <w:t>Căn cứ Khoản 3, Điều 25 Luật Phòng chống bệnh truyền nhiễm;</w:t>
      </w:r>
    </w:p>
    <w:p>
      <w:pPr>
        <w:jc w:val="both"/>
      </w:pPr>
      <w:r>
        <w:t>Bộ Y tế quy định chế độ quản lý mẫu bệnh phẩm liên quan đến tác nhân gây bệnh truyền nhiễm và điều kiện của cơ sở quản lý mẫu bệnh phẩm bệnh truyền nhiễm chứa chất lây nhiễm loại A:</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nội dung sau:</w:t>
      </w:r>
    </w:p>
    <w:p>
      <w:pPr>
        <w:jc w:val="both"/>
      </w:pPr>
      <w:r>
        <w:t>1. Việc quản lý mẫu bệnh phẩm bệnh truyền nhiễm nhằm mục đích nghiên cứu, chẩn đoán, điều trị và dự phòng bao gồm các hoạt động:</w:t>
      </w:r>
    </w:p>
    <w:p>
      <w:pPr>
        <w:jc w:val="both"/>
      </w:pPr>
      <w:r>
        <w:t>a) Thu thập;</w:t>
      </w:r>
    </w:p>
    <w:p>
      <w:pPr>
        <w:jc w:val="both"/>
      </w:pPr>
      <w:r>
        <w:t>b) Bảo quản;</w:t>
      </w:r>
    </w:p>
    <w:p>
      <w:pPr>
        <w:jc w:val="both"/>
      </w:pPr>
      <w:r>
        <w:t>c) Đóng gói;</w:t>
      </w:r>
    </w:p>
    <w:p>
      <w:pPr>
        <w:jc w:val="both"/>
      </w:pPr>
      <w:r>
        <w:t>d) Vận chuyển;</w:t>
      </w:r>
    </w:p>
    <w:p>
      <w:pPr>
        <w:jc w:val="both"/>
      </w:pPr>
      <w:r>
        <w:t>đ) Lưu giữ;</w:t>
      </w:r>
    </w:p>
    <w:p>
      <w:pPr>
        <w:jc w:val="both"/>
      </w:pPr>
      <w:r>
        <w:t>e) Sử dụng;</w:t>
      </w:r>
    </w:p>
    <w:p>
      <w:pPr>
        <w:jc w:val="both"/>
      </w:pPr>
      <w:r>
        <w:t>g) Trao đổi;</w:t>
      </w:r>
    </w:p>
    <w:p>
      <w:pPr>
        <w:jc w:val="both"/>
      </w:pPr>
      <w:r>
        <w:t>h) Tiêu huỷ.</w:t>
      </w:r>
    </w:p>
    <w:p>
      <w:pPr>
        <w:jc w:val="both"/>
      </w:pPr>
      <w:r>
        <w:t>2. Điều kiện của cơ sở được phép bảo quản, lưu giữ, sử dụng, nghiên cứu, trao đổi, tiêu huỷ mẫu bệnh phẩm chứa chất lây nhiễm loại A.</w:t>
      </w:r>
    </w:p>
    <w:p>
      <w:pPr>
        <w:jc w:val="both"/>
      </w:pPr>
      <w:r>
        <w:rPr>
          <w:b/>
        </w:rPr>
        <w:t>Điều 2. Giải thích từ ngữ</w:t>
      </w:r>
    </w:p>
    <w:p>
      <w:pPr>
        <w:jc w:val="both"/>
      </w:pPr>
      <w:r>
        <w:t>Trong Thông tư này, những từ ngữ dưới đây được hiểu như sau :</w:t>
      </w:r>
    </w:p>
    <w:p>
      <w:pPr>
        <w:jc w:val="both"/>
      </w:pPr>
      <w:r>
        <w:t>1. Mẫu bệnh phẩm bao gồm các mẫu máu, huyết thanh, huyết tương, nước tiểu, phân, dịch tiết cơ thể người và các mẫu bệnh phẩm khác từ người có chứa chất lây nhiễm, các chủng vi sinh vật gây bệnh cho người (sau đây gọi chung là mẫu bệnh phẩm).</w:t>
      </w:r>
    </w:p>
    <w:p>
      <w:pPr>
        <w:jc w:val="both"/>
      </w:pPr>
      <w:r>
        <w:t>2. Chất lây nhiễm là chất có chứa hoặc có khả năng chứa tác nhân gây bệnh truyền nhiễm cho người bao gồm loại A và loại B.</w:t>
      </w:r>
    </w:p>
    <w:p>
      <w:pPr>
        <w:jc w:val="both"/>
      </w:pPr>
      <w:r>
        <w:t>3. Mẫu bệnh phẩm chứa chất lây nhiễm loại A (theo Danh mục tại Phụ lục 1 ban hành kèm theo Thông tư này) là mẫu bệnh phẩm mà khi phơi nhiễm có thể gây ra những bệnh lý đe doạ đến tính mạng, tử vong, gây dị tật vĩnh viễn cho người.</w:t>
      </w:r>
    </w:p>
    <w:p>
      <w:pPr>
        <w:jc w:val="both"/>
      </w:pPr>
      <w:r>
        <w:t>4. Mẫu bệnh phẩm chứa chất lây nhiễm loại B là những mẫu bệnh phẩm chứa chất lây nhiễm không thuộc danh mục chất lây nhiễm loại A qui định tại Khoản 3 Điều này.</w:t>
      </w:r>
    </w:p>
    <w:p>
      <w:pPr>
        <w:jc w:val="both"/>
      </w:pPr>
      <w:r>
        <w:rPr>
          <w:b/>
        </w:rPr>
        <w:t>Điều 3. Cơ sở được phép quản lý mẫu bệnh phẩm</w:t>
      </w:r>
    </w:p>
    <w:p>
      <w:pPr>
        <w:jc w:val="both"/>
      </w:pPr>
      <w:r>
        <w:t>1. Các cơ quan, tổ chức, cá nhân có chức năng xét nghiệm, nghiên cứu, bảo quản, lưu giữ, sử dụng và tiêu huỷ mẫu bệnh phẩm được phép thu thập, bảo quản, vận chuyển, xuất khẩu, nhập khẩu, xét nghiệm, lưu giữ và nghiên cứu mẫu bệnh phẩm.</w:t>
      </w:r>
    </w:p>
    <w:p>
      <w:pPr>
        <w:jc w:val="both"/>
      </w:pPr>
      <w:r>
        <w:t>2. Cơ quan, tổ chức, cá nhân nhập khẩu, xuất khẩu, vận chuyển mẫu bệnh phẩm phải có chức năng mới được phép thực hiện các hoạt động này.</w:t>
      </w:r>
    </w:p>
    <w:p>
      <w:pPr>
        <w:jc w:val="both"/>
      </w:pPr>
      <w:r>
        <w:t>3. Cơ quan, tổ chức, cá nhân nhập khẩu, xuất khẩu, vận chuyển, xét nghiệm, nghiên cứu, bảo quản, lưu giữ, sử dụng, tiêu huỷ mẫu bệnh phẩm tự chịu trách nhiệm trước pháp luật về chất lượng, an toàn của sản phẩm và các hoạt động của mình.</w:t>
      </w:r>
    </w:p>
    <w:p>
      <w:pPr>
        <w:jc w:val="center"/>
      </w:pPr>
      <w:r>
        <w:rPr>
          <w:b/>
        </w:rPr>
        <w:t>Chương II</w:t>
      </w:r>
    </w:p>
    <w:p>
      <w:pPr>
        <w:jc w:val="both"/>
      </w:pPr>
      <w:r>
        <w:t>QUY ĐỊNH VỀ THU THẬP, BẢO QUẢN, ĐÓNG GÓI, VẬN CHUYỂN, LƯU GIỮ, SỬ DỤNG, NGHIÊN CỨU, TRAO ĐỔI, TIÊU HUỶ MẪU BỆNH PHẨM</w:t>
      </w:r>
    </w:p>
    <w:p>
      <w:pPr>
        <w:jc w:val="both"/>
      </w:pPr>
      <w:r>
        <w:rPr>
          <w:b/>
        </w:rPr>
        <w:t>Điều 4. Thu thập mẫu bệnh phẩm</w:t>
      </w:r>
    </w:p>
    <w:p>
      <w:pPr>
        <w:jc w:val="both"/>
      </w:pPr>
      <w:r>
        <w:t>1. Người thực hiện việc lấy mẫu bệnh phẩm phải có kỹ năng thu thập mẫu bệnh phẩm.</w:t>
      </w:r>
    </w:p>
    <w:p>
      <w:pPr>
        <w:jc w:val="both"/>
      </w:pPr>
      <w:r>
        <w:t>2. Việc thu thập mẫu bệnh phẩm phải bảo đảm an toàn và tránh lây nhiễm đối với người đi lấy mẫu, người cùng làm việc, nhân viên phòng xét nghiệm và người bệnh.</w:t>
      </w:r>
    </w:p>
    <w:p>
      <w:pPr>
        <w:jc w:val="both"/>
      </w:pPr>
      <w:r>
        <w:t>3. Các hội chứng cần lấy mẫu bệnh phẩm và mẫu bệnh phẩm cần được lấy qui định tại Phụ lục 2 ban hành kèm theo Thông tư này.</w:t>
      </w:r>
    </w:p>
    <w:p>
      <w:pPr>
        <w:jc w:val="both"/>
      </w:pPr>
      <w:r>
        <w:t>4. Các kỹ thuật lấy mẫu bệnh phẩm được quy định tại Phụ lục 3 ban hành kèm theo Thông tư này.</w:t>
      </w:r>
    </w:p>
    <w:p>
      <w:pPr>
        <w:jc w:val="both"/>
      </w:pPr>
      <w:r>
        <w:rPr>
          <w:b/>
        </w:rPr>
        <w:t>Điều 5. Bảo quản mẫu bệnh phẩm</w:t>
      </w:r>
    </w:p>
    <w:p>
      <w:pPr>
        <w:jc w:val="both"/>
      </w:pPr>
      <w:r>
        <w:t>Mẫu bệnh phẩm sau khi lấy phải được bảo quản trong môi trường và nhiệt độ qui định tại Phụ lục 4 ban hành kèm theo Thông tư này trước khi tới cơ sở xét nghiệm.</w:t>
      </w:r>
    </w:p>
    <w:p>
      <w:pPr>
        <w:jc w:val="both"/>
      </w:pPr>
      <w:r>
        <w:rPr>
          <w:b/>
        </w:rPr>
        <w:t>Điều 6. Đóng gói mẫu bệnh phẩm</w:t>
      </w:r>
    </w:p>
    <w:p>
      <w:pPr>
        <w:jc w:val="both"/>
      </w:pPr>
      <w:r>
        <w:t>1. Mẫu bệnh phẩm chứa chất lây nhiễm loại A, loại B phải được đóng gói riêng biệt, không chung với các loại hàng hoá khác, bao gồm 3 lớp:</w:t>
      </w:r>
    </w:p>
    <w:p>
      <w:pPr>
        <w:jc w:val="both"/>
      </w:pPr>
      <w:r>
        <w:t>a) Lớp thứ nhất (tube, chai, lọ đựng mẫu bệnh phẩm): phải bảo đảm không thấm nước, không rò rỉ, chịu được nhiệt độ trong khoảng từ âm 40oC đến 55oC;</w:t>
      </w:r>
    </w:p>
    <w:p>
      <w:pPr>
        <w:jc w:val="both"/>
      </w:pPr>
      <w:r>
        <w:t>b) Lớp thứ 2 (túi, hộp, gói): phải bảo đảm bằng vật liệu bền, không thấm nước, không rò rỉ, chịu được nhiệt độ trong khoảng từ âm 40oC đến 55oC;</w:t>
      </w:r>
    </w:p>
    <w:p>
      <w:pPr>
        <w:jc w:val="both"/>
      </w:pPr>
      <w:r>
        <w:t>Lớp thứ nhất hoặc lớp thứ 2 phải chịu được áp lực 95kPa;</w:t>
      </w:r>
    </w:p>
    <w:p>
      <w:pPr>
        <w:jc w:val="both"/>
      </w:pPr>
      <w:r>
        <w:t>c) Lớp ngoài cùng (hộp, thùng): phải bảo đảm cứng, chịu được áp lực, giữa lớp thứ 2 và lớp ngoài cùng có 1 lớp đệm để chống va đập. Kích thước bên ngoài tối thiểu mỗi chiều là 10cm.</w:t>
      </w:r>
    </w:p>
    <w:p>
      <w:pPr>
        <w:jc w:val="both"/>
      </w:pPr>
      <w:r>
        <w:t>2. Đối với mẫu bệnh phẩm dạng lỏng, phải có lớp lót bằng vật liệu hút ẩm (với số lượng vừa đủ để hấp thụ toàn bộ số lượng mẫu nếu xảy ra đổ vỡ) được đặt giữa lớp thứ nhất và thứ 2.</w:t>
      </w:r>
    </w:p>
    <w:p>
      <w:pPr>
        <w:jc w:val="both"/>
      </w:pPr>
      <w:r>
        <w:t>3. Khi đựng nhiều mẫu (đã được đóng gói lớp thứ nhất) trong lớp thứ hai, các mẫu phải được tách riêng để ngăn chặn sự tiếp xúc giữa chúng.</w:t>
      </w:r>
    </w:p>
    <w:p>
      <w:pPr>
        <w:jc w:val="both"/>
      </w:pPr>
      <w:r>
        <w:t>4. Đối với các chất bảo quản ở điều kiện đông lạnh thì đặt đá khô hoặc chất làm lạnh khác xung quanh lớp thứ hai.</w:t>
      </w:r>
    </w:p>
    <w:p>
      <w:pPr>
        <w:jc w:val="both"/>
      </w:pPr>
      <w:r>
        <w:t>a) Nếu sử dụng đá thì lớp ngoài cùng phải không được rò rỉ.</w:t>
      </w:r>
    </w:p>
    <w:p>
      <w:pPr>
        <w:jc w:val="both"/>
      </w:pPr>
      <w:r>
        <w:t>b) Nếu sử dụng đá khô thì lớp ngoài cùng phải có lỗ thoát khí CO2­­.</w:t>
      </w:r>
    </w:p>
    <w:p>
      <w:pPr>
        <w:jc w:val="both"/>
      </w:pPr>
      <w:r>
        <w:t>c) Nếu sử dụng nitơ lỏng thì lớp thứ nhất và lớp thứ hai phải có khả năng chịu nhiệt độ thấp.</w:t>
      </w:r>
    </w:p>
    <w:p>
      <w:pPr>
        <w:jc w:val="both"/>
      </w:pPr>
      <w:r>
        <w:t>5. Vật liệu đóng gói lớp thứ nhất và thứ hai phải chịu được nhiệt độ bảo quản mẫu.</w:t>
      </w:r>
    </w:p>
    <w:p>
      <w:pPr>
        <w:jc w:val="both"/>
      </w:pPr>
      <w:r>
        <w:t>6. Các mẫu bệnh phẩm đông khô có thể được đựng trong lớp thứ nhất bằng thủy tinh được hàn kín hoặc lọ thuỷ tinh có nắp cao su kín.</w:t>
      </w:r>
    </w:p>
    <w:p>
      <w:pPr>
        <w:jc w:val="both"/>
      </w:pPr>
      <w:r>
        <w:rPr>
          <w:b/>
        </w:rPr>
        <w:t>Điều 7. Ghi nhãn đóng gói và phiếu xét nghiệm:</w:t>
      </w:r>
    </w:p>
    <w:p>
      <w:pPr>
        <w:jc w:val="both"/>
      </w:pPr>
      <w:r>
        <w:t>1. Dán nhãn trên mỗi ống đựng mẫu bệnh phẩm, ghi các thông tin sau:</w:t>
      </w:r>
    </w:p>
    <w:p>
      <w:pPr>
        <w:jc w:val="both"/>
      </w:pPr>
      <w:r>
        <w:t>a) Họ tên người bệnh, tuổi;</w:t>
      </w:r>
    </w:p>
    <w:p>
      <w:pPr>
        <w:jc w:val="both"/>
      </w:pPr>
      <w:r>
        <w:t>b) Mã số;</w:t>
      </w:r>
    </w:p>
    <w:p>
      <w:pPr>
        <w:jc w:val="both"/>
      </w:pPr>
      <w:r>
        <w:t>c) Loại bệnh phẩm (ví dụ: máu, huyết thanh, dịch não tủy hoặc loại bệnh phẩm khác), ngày lấy mẫu;</w:t>
      </w:r>
    </w:p>
    <w:p>
      <w:pPr>
        <w:jc w:val="both"/>
      </w:pPr>
      <w:r>
        <w:t>2. Ghi nhãn trên bao bì vận chuyển bao gồm các thông tin sau:</w:t>
      </w:r>
    </w:p>
    <w:p>
      <w:pPr>
        <w:jc w:val="both"/>
      </w:pPr>
      <w:r>
        <w:t>a) Tên và địa chỉ người gửi;</w:t>
      </w:r>
    </w:p>
    <w:p>
      <w:pPr>
        <w:jc w:val="both"/>
      </w:pPr>
      <w:r>
        <w:t>b) Số điện thoại của người chịu trách nhiệm, am hiểu về lô hàng;</w:t>
      </w:r>
    </w:p>
    <w:p>
      <w:pPr>
        <w:jc w:val="both"/>
      </w:pPr>
      <w:r>
        <w:t>c) Tên và địa chỉ người nhận;</w:t>
      </w:r>
    </w:p>
    <w:p>
      <w:pPr>
        <w:jc w:val="both"/>
      </w:pPr>
      <w:r>
        <w:t>d) Mã số thích hợp theo qui định của Liên hợp quốc (UN2814 đối với chất lây nhiễm loại A hoặc UN3373 đối với chất lây nhiễm loại B);</w:t>
      </w:r>
    </w:p>
    <w:p>
      <w:pPr>
        <w:jc w:val="both"/>
      </w:pPr>
      <w:r>
        <w:t>đ) Nhiệt độ bảo quản yêu cầu;</w:t>
      </w:r>
    </w:p>
    <w:p>
      <w:pPr>
        <w:jc w:val="both"/>
      </w:pPr>
      <w:r>
        <w:t>e) Khi sử dụng đá khô hoặc nitơ lỏng thì cần nêu tên chất làm lạnh, mã số theo UN và trọng lượng tịnh;</w:t>
      </w:r>
    </w:p>
    <w:p>
      <w:pPr>
        <w:jc w:val="both"/>
      </w:pPr>
      <w:r>
        <w:t>g) Dán nhãn vận chuyển phù hợp với từng loại sản phẩm theo Phụ lục 5 ban hành kèm theo Thông tư này.</w:t>
      </w:r>
    </w:p>
    <w:p>
      <w:pPr>
        <w:jc w:val="both"/>
      </w:pPr>
      <w:r>
        <w:t>3. Đối với mẫu bệnh phẩm chứa chất lây nhiễm loại A, giữa lớp thứ 2 và lớp ngoài cùng phải có danh sách mẫu. Nếu nghi ngờ chứa chất lây nhiễm loại A thì phải ghi rõ “Chất lây nhiễm nghi ngờ loại A„ trong ngoặc đơn.</w:t>
      </w:r>
    </w:p>
    <w:p>
      <w:pPr>
        <w:jc w:val="both"/>
      </w:pPr>
      <w:r>
        <w:t>4. Điền đầy đủ thông tin vào phiếu xét nghiệm qui định tại Phụ lục 6 ban hành kèm theo Thông tư này và gửi kèm với mẫu bệnh phẩm.</w:t>
      </w:r>
    </w:p>
    <w:p>
      <w:pPr>
        <w:jc w:val="both"/>
      </w:pPr>
      <w:r>
        <w:rPr>
          <w:b/>
        </w:rPr>
        <w:t>Điều 8. Vận chuyển mẫu bệnh phẩm</w:t>
      </w:r>
    </w:p>
    <w:p>
      <w:pPr>
        <w:jc w:val="both"/>
      </w:pPr>
      <w:r>
        <w:t>1. Đơn vị lấy mẫu thông báo cho phòng xét nghiệm ngày gửi mẫu bệnh phẩm, phương tiện vận chuyển và thời gian dự kiến sẽ tới phòng xét nghiệm.</w:t>
      </w:r>
    </w:p>
    <w:p>
      <w:pPr>
        <w:jc w:val="both"/>
      </w:pPr>
      <w:r>
        <w:t>2. Đơn vị lấy mẫu lựa chọn phương tiện vận chuyển, bảo đảm thời gian vận chuyển ngắn nhất nhưng không vượt quá thời gian bảo quản quy định tại Điều 5 của Thông tư này đối với từng loại mẫu bệnh phẩm.</w:t>
      </w:r>
    </w:p>
    <w:p>
      <w:pPr>
        <w:jc w:val="both"/>
      </w:pPr>
      <w:r>
        <w:t>3. Phương tiện vận chuyển: đường không, đường biển, đường bộ, đường sắt</w:t>
      </w:r>
    </w:p>
    <w:p>
      <w:pPr>
        <w:jc w:val="both"/>
      </w:pPr>
      <w:r>
        <w:t>a) Vận chuyển bằng đường hàng không:</w:t>
      </w:r>
    </w:p>
    <w:p>
      <w:pPr>
        <w:jc w:val="both"/>
      </w:pPr>
      <w:r>
        <w:t>- Đối với mẫu bệnh phẩm chứa chất lây nhiễm loại A:</w:t>
      </w:r>
    </w:p>
    <w:p>
      <w:pPr>
        <w:jc w:val="both"/>
      </w:pPr>
      <w:r>
        <w:t>+ Mỗi kiện tối đa 50ml hoặc 50g cho máy bay chở khách;</w:t>
      </w:r>
    </w:p>
    <w:p>
      <w:pPr>
        <w:jc w:val="both"/>
      </w:pPr>
      <w:r>
        <w:t>+ Mỗi kiện tối đa 4 lít (chất lỏng) hoặc 4kg (chất rắn) cho máy bay chở hàng.</w:t>
      </w:r>
    </w:p>
    <w:p>
      <w:pPr>
        <w:jc w:val="both"/>
      </w:pPr>
      <w:r>
        <w:t>- Đối với mẫu bệnh phẩm chứa chất lây nhiễm loại B:</w:t>
      </w:r>
    </w:p>
    <w:p>
      <w:pPr>
        <w:jc w:val="both"/>
      </w:pPr>
      <w:r>
        <w:t>+ Đối với chất lỏng: Một đơn vị mẫu bệnh phẩm không quá 1 lít, mẫu bệnh phẩm sau khi đóng gói không quá 4 lít;</w:t>
      </w:r>
    </w:p>
    <w:p>
      <w:pPr>
        <w:jc w:val="both"/>
      </w:pPr>
      <w:r>
        <w:t>+ Đối với chất rắn (trừ các bộ phận cơ thể và cơ quan nội tạng): Mẫu bệnh phẩm sau khi đóng gói không quá 4kg/kiện.</w:t>
      </w:r>
    </w:p>
    <w:p>
      <w:pPr>
        <w:jc w:val="both"/>
      </w:pPr>
      <w:r>
        <w:t>b) Vận chuyển bằng đường bộ, đường sắt, đường biển: Không có giới hạn khối lượng cho mỗi kiện mẫu bệnh phẩm.</w:t>
      </w:r>
    </w:p>
    <w:p>
      <w:pPr>
        <w:jc w:val="both"/>
      </w:pPr>
      <w:r>
        <w:rPr>
          <w:b/>
        </w:rPr>
        <w:t>Điều 9. Xử lý sự cố khi bị tràn đổ trong quá trình vận chuyển</w:t>
      </w:r>
    </w:p>
    <w:p>
      <w:pPr>
        <w:jc w:val="both"/>
      </w:pPr>
      <w:r>
        <w:t>1. Phải làm sạch hoặc khử trùng, khử khuẩn khu vực bị ảnh hưởng càng sớm càng tốt, bất kể là tác nhân nào.</w:t>
      </w:r>
    </w:p>
    <w:p>
      <w:pPr>
        <w:jc w:val="both"/>
      </w:pPr>
      <w:r>
        <w:t>2. Khi một vật liệu lây nhiễm tiếp xúc với vùng da bị tổn thương thì phải rửa sạch với xà phòng và nước hoặc với một chất khử trùng, khử khuẩn và đến ngay cơ sở y tế nơi gần nhất để được tư vấn và điều trị.</w:t>
      </w:r>
    </w:p>
    <w:p>
      <w:pPr>
        <w:jc w:val="both"/>
      </w:pPr>
      <w:r>
        <w:t>3. Quy trình xử lý sự cố tràn đổ:</w:t>
      </w:r>
    </w:p>
    <w:p>
      <w:pPr>
        <w:jc w:val="both"/>
      </w:pPr>
      <w:r>
        <w:t>a) Phong tỏa khu vực xảy ra sự cố;</w:t>
      </w:r>
    </w:p>
    <w:p>
      <w:pPr>
        <w:jc w:val="both"/>
      </w:pPr>
      <w:r>
        <w:t>b) Sử dụng găng tay, quần áo bảo hộ, mặt nạ hoặc kính tuỳ theo từng loại tác nhân gây bệnh;</w:t>
      </w:r>
    </w:p>
    <w:p>
      <w:pPr>
        <w:jc w:val="both"/>
      </w:pPr>
      <w:r>
        <w:t>c) Phủ vải hoặc giấy thấm lên toàn bộ vị trí bị tràn đổ;</w:t>
      </w:r>
    </w:p>
    <w:p>
      <w:pPr>
        <w:jc w:val="both"/>
      </w:pPr>
      <w:r>
        <w:t>d) Đổ chất khử trùng, khử khuẩn thích hợp lên vải hoặc giấy thấm (từ ngoài vào trong);</w:t>
      </w:r>
    </w:p>
    <w:p>
      <w:pPr>
        <w:jc w:val="both"/>
      </w:pPr>
      <w:r>
        <w:t>đ) Dọn sạch sau khoảng 30 phút, thu gom các vật liệu bị nhiễm vào một thùng chứa rác thải chống rò rỉ (nếu có thủy tinh hoặc vật sắc nhọn thì phải cho vào các thùng chứa vật liệu sắc nhọn để xử lý).</w:t>
      </w:r>
    </w:p>
    <w:p>
      <w:pPr>
        <w:jc w:val="both"/>
      </w:pPr>
      <w:r>
        <w:t>4. Sau khi khử trùng, khử khuẩn, người thực hiện phải báo cáo sự việc cho lãnh đạo cơ quan vận chuyển.</w:t>
      </w:r>
    </w:p>
    <w:p>
      <w:pPr>
        <w:jc w:val="both"/>
      </w:pPr>
      <w:r>
        <w:rPr>
          <w:b/>
        </w:rPr>
        <w:t>Điều 10. Tiếp nhận, thực hiện xét nghiệm, lưu giữ mẫu bệnh phẩm</w:t>
      </w:r>
    </w:p>
    <w:p>
      <w:pPr>
        <w:jc w:val="both"/>
      </w:pPr>
      <w:r>
        <w:t>1. Sau khi nhận được thông báo của đơn vị gửi mẫu, phòng xét nghiệm tiếp nhận mẫu bệnh phẩm phải sắp xếp để tiếp nhận kịp thời. Khi nhận mẫu bệnh phẩm phải ghi ngày, thời gian nhận, tên người tiếp nhận và ghi lại tình trạng chất lượng bệnh phẩm lúc nhận được.</w:t>
      </w:r>
    </w:p>
    <w:p>
      <w:pPr>
        <w:jc w:val="both"/>
      </w:pPr>
      <w:r>
        <w:t>2. Tiến hành xét nghiệm theo các qui trình kỹ thuật đối với từng loại bệnh phẩm và mục đích xét nghiệm.</w:t>
      </w:r>
    </w:p>
    <w:p>
      <w:pPr>
        <w:jc w:val="both"/>
      </w:pPr>
      <w:r>
        <w:t>3. Các mẫu bệnh phẩm, vi rút, vi khuẩn được lưu giữ để phục vụ cho mục đích nghiên cứu phải được bảo quản đúng qui định đối với từng loại tác nhân gây bệnh, kiểm tra thường xuyên nhiệt độ và tình trạng mẫu.</w:t>
      </w:r>
    </w:p>
    <w:p>
      <w:pPr>
        <w:jc w:val="both"/>
      </w:pPr>
      <w:r>
        <w:rPr>
          <w:b/>
        </w:rPr>
        <w:t>Điều 11. Tiêu huỷ mẫu bệnh phẩm</w:t>
      </w:r>
    </w:p>
    <w:p>
      <w:pPr>
        <w:jc w:val="both"/>
      </w:pPr>
      <w:r>
        <w:t>Mẫu bệnh phẩm sau khi sử dụng, nghiên cứu hoặc hết thời hạn lưu giữ phải được tiêu huỷ theo quy định tại Quyết định số 43/2007/QĐ-BYT ngày 30/11/2007 của Bộ Y tế về việc ban hành Quy chế quản lý chất thải y tế và các qui định pháp luật có liên quan.</w:t>
      </w:r>
    </w:p>
    <w:p>
      <w:pPr>
        <w:jc w:val="center"/>
      </w:pPr>
      <w:r>
        <w:rPr>
          <w:b/>
        </w:rPr>
        <w:t>Chương III</w:t>
      </w:r>
    </w:p>
    <w:p>
      <w:pPr>
        <w:jc w:val="both"/>
      </w:pPr>
      <w:r>
        <w:t>QUY ĐỊNH VỀ HỒ SƠ, THỦ TỤC ĐỀ NGHỊ NHẬP KHẨU, XUẤT KHẨU MẪU BỆNH PHẨM</w:t>
      </w:r>
    </w:p>
    <w:p>
      <w:pPr>
        <w:jc w:val="both"/>
      </w:pPr>
      <w:r>
        <w:rPr>
          <w:b/>
        </w:rPr>
        <w:t>Điều 12. Hồ sơ đề nghị nhập khẩu, xuất khẩu mẫu bệnh phẩm</w:t>
      </w:r>
    </w:p>
    <w:p>
      <w:pPr>
        <w:jc w:val="both"/>
      </w:pPr>
      <w:r>
        <w:t>1. Công văn đề nghị nhập khẩu, xuất khẩu mẫu bệnh phẩm theo mẫu qui định tại Phụ lục 7 ban hành kèm theo Thông tư này.</w:t>
      </w:r>
    </w:p>
    <w:p>
      <w:pPr>
        <w:jc w:val="both"/>
      </w:pPr>
      <w:r>
        <w:t>2. Tài liệu chứng minh nhu cầu nhập khẩu, xuất khẩu mẫu bệnh phẩm gồm: bản photo quyết định phê duyệt của cơ quan có thẩm quyền cho phép thực hiện đề tài, dự án nghiên cứu (cấp Bộ hoặc cấp tỉnh trở lên) và đề cương nghiên cứu, dự án đã được phê duyệt hoặc văn bản thoả thuận hợp tác giữa các cơ sở trong nước và nước ngoài có liên quan tới việc nhập khẩu, xuất khẩu mẫu bệnh phẩm.</w:t>
      </w:r>
    </w:p>
    <w:p>
      <w:pPr>
        <w:jc w:val="both"/>
      </w:pPr>
      <w:r>
        <w:t>3. Bản photo giấy chứng nhận đăng ký kinh doanh, quyết định thành lập hoặc giấy tờ khác chứng minh cơ sở có chức năng xuất khẩu, nhập khẩu, nghiên cứu, lưu giữ bảo quản, vận chuyển, xét nghiệm mẫu.</w:t>
      </w:r>
    </w:p>
    <w:p>
      <w:pPr>
        <w:jc w:val="both"/>
      </w:pPr>
      <w:r>
        <w:t>4. Trường hợp cơ sở có chức năng nghiên cứu theo qui định tại Khoản 1 Điều 3 Thông tư này ủy quyền cho đơn vị khác có chức năng xuất khẩu, nhập khẩu theo qui định tại Khoản 2 Điều 3 Thông tư này để nhập khẩu, xuất khẩu mẫu bệnh phẩm thì hồ sơ phải có hợp đồng ký kết giữa 2 bên.</w:t>
      </w:r>
    </w:p>
    <w:p>
      <w:pPr>
        <w:jc w:val="both"/>
      </w:pPr>
      <w:r>
        <w:rPr>
          <w:b/>
        </w:rPr>
        <w:t>Điều 13. Thủ tục nộp, giải quyết hồ sơ đề nghị nhập khẩu, xuất khẩu mẫu bệnh phẩm</w:t>
      </w:r>
    </w:p>
    <w:p>
      <w:pPr>
        <w:jc w:val="both"/>
      </w:pPr>
      <w:r>
        <w:t>1. Cơ quan, tổ chức, cá nhân đề nghị nhập khẩu, xuất khẩu mẫu bệnh phẩm gửi hồ sơ về Bộ Y tế (Cục Y tế dự phòng).</w:t>
      </w:r>
    </w:p>
    <w:p>
      <w:pPr>
        <w:jc w:val="both"/>
      </w:pPr>
      <w:r>
        <w:t>2. Trong vòng 10 ngày làm việc kể từ ngày nhận đủ hồ sơ hợp lệ, Cục Y tế dự phòng tiến hành xem xét và trả lời bằng văn bản về việc đồng ý hoặc không đồng ý cấp giấy phép nhập khẩu, xuất khẩu mẫu bệnh phẩm.</w:t>
      </w:r>
    </w:p>
    <w:p>
      <w:pPr>
        <w:jc w:val="center"/>
      </w:pPr>
      <w:r>
        <w:rPr>
          <w:b/>
        </w:rPr>
        <w:t>Chương IV</w:t>
      </w:r>
    </w:p>
    <w:p>
      <w:pPr>
        <w:jc w:val="both"/>
      </w:pPr>
      <w:r>
        <w:t>ĐIỀU KIỆN ĐỐI VỚI CƠ SỞ QUẢN LÝ MẪU BỆNH PHẨM CHỨA CHẤT LÂY NHIỄM LOẠI A</w:t>
      </w:r>
    </w:p>
    <w:p>
      <w:pPr>
        <w:jc w:val="both"/>
      </w:pPr>
      <w:r>
        <w:rPr>
          <w:b/>
        </w:rPr>
        <w:t>Điều 14. Điều kiện đối với cơ sở bảo quản, lưu giữ, sử dụng, nghiên cứu, trao đổi và tiêu huỷ mẫu bệnh phẩm chứa chất lây nhiễm loại A</w:t>
      </w:r>
    </w:p>
    <w:p>
      <w:pPr>
        <w:jc w:val="both"/>
      </w:pPr>
      <w:r>
        <w:t>1. Cơ sở quản lý mẫu bệnh phẩm chứa chất lây nhiễm loại A phải có chức năng qui định tại Khoản 1 Điều 3 Thông tư này và đạt tiêu chuẩn Phòng xét nghiệm an toàn sinh học cấp III theo qui định tại Nghị định số 92/2010/NĐ-CP ngày 30/8/2010 của Chính phủ qui định chi tiết thi hành Luật Phòng, chống bệnh truyền nhiễm về bảo đảm an toàn sinh học tại phòng xét nghiệm và các văn bản hướng dẫn liên quan.</w:t>
      </w:r>
    </w:p>
    <w:p>
      <w:pPr>
        <w:jc w:val="both"/>
      </w:pPr>
      <w:r>
        <w:t>2. Các phòng xét nghiệm đạt tiêu chuẩn an toàn sinh học cấp II chỉ được phép lưu giữ tạm thời mẫu bệnh phẩm chứa chất lây nhiễm loại A, sau đó phải chuyển tới phòng xét nghiệm đạt tiêu chuẩn an toàn sinh học cấp III trong thời gian sớm nhất.</w:t>
      </w:r>
    </w:p>
    <w:p>
      <w:pPr>
        <w:jc w:val="center"/>
      </w:pPr>
      <w:r>
        <w:rPr>
          <w:b/>
        </w:rPr>
        <w:t>Chương V</w:t>
      </w:r>
    </w:p>
    <w:p>
      <w:pPr>
        <w:jc w:val="both"/>
      </w:pPr>
      <w:r>
        <w:t>ĐIỀU KHOẢN THI HÀNH</w:t>
      </w:r>
    </w:p>
    <w:p>
      <w:pPr>
        <w:jc w:val="both"/>
      </w:pPr>
      <w:r>
        <w:rPr>
          <w:b/>
        </w:rPr>
        <w:t>Điều 15. Điều khoản thi hành</w:t>
      </w:r>
    </w:p>
    <w:p>
      <w:pPr>
        <w:jc w:val="both"/>
      </w:pPr>
      <w:r>
        <w:t>Thông tư này có hiệu lực kể từ ngày 15/01/2012.</w:t>
      </w:r>
    </w:p>
    <w:p>
      <w:pPr>
        <w:jc w:val="both"/>
      </w:pPr>
      <w:r>
        <w:rPr>
          <w:b/>
        </w:rPr>
        <w:t>Điều 16. Trách nhiệm tổ chức thực hiện</w:t>
      </w:r>
    </w:p>
    <w:p>
      <w:pPr>
        <w:jc w:val="both"/>
      </w:pPr>
      <w:r>
        <w:t>1. Cục Y tế dự phòng là đầu mối tiếp nhận hồ sơ và phối hợp với các vụ, cục khác xem xét cấp giấy phép xuất khẩu, nhập khẩu mẫu bệnh phẩm liên quan đến tác nhân gây bệnh truyền nhiễm; kiểm tra định kỳ và đột xuất việc nghiên cứu, bảo quản, vận chuyển, lưu giữ, tiêu hủy mẫu bệnh phẩm của các tổ chức, cá nhân.</w:t>
      </w:r>
    </w:p>
    <w:p>
      <w:pPr>
        <w:jc w:val="both"/>
      </w:pPr>
      <w:r>
        <w:t>2. Cục Quản lý khám, chữa bệnh, Vụ Khoa học và Đào tạo phối hợp với Cục Y tế dự phòng hướng dẫn, kiểm tra thực hiện việc nghiên cứu, sử dụng, lưu giữ mẫu bệnh phẩm của các tổ chức, cá nhân.</w:t>
      </w:r>
    </w:p>
    <w:p>
      <w:pPr>
        <w:jc w:val="both"/>
      </w:pPr>
      <w:r>
        <w:t>3. Thanh tra Bộ Y tế phối hợp với các vụ, cục chức năng thuộc Bộ Y tế thực hiện kiểm tra, thanh tra trên phạm vi toàn quốc các hoạt động nhập khẩu, xuất khẩu vận chuyển, bảo quản, lưu giữ, sử dụng, nghiên cứu, trao đổi, tiêu huỷ mẫu bệnh phẩm liên quan đến tác nhân gây bệnh truyền nhiễm.</w:t>
      </w:r>
    </w:p>
    <w:p>
      <w:pPr>
        <w:jc w:val="both"/>
      </w:pPr>
      <w:r>
        <w:t>4. Sở Y tế tỉnh, thành phố trực thuộc Trung ương thực hiện kiểm tra, thanh tra tai địa phương các hoạt động vận chuyển, bảo quản, lưu giữ, sử dụng, nghiên cứu, trao đổi, tiêu huỷ mẫu bệnh phẩm liên quan đến tác nhân gây bệnh truyền nhiễm.</w:t>
      </w:r>
    </w:p>
    <w:p>
      <w:pPr>
        <w:jc w:val="both"/>
      </w:pPr>
      <w:r>
        <w:t>5. Các Viện Vệ sinh dịch tễ/Pasteur, Trung tâm Y tế dự phòng tỉnh, thành phố trực thuộc Trung ương, các bệnh viện, cơ quan, tổ chức, cá nhân có chức năng và thực hiện hoạt động bảo quản, lưu giữ, sử dụng, nghiên cứu, nhập khẩu, xuất khẩu, vận chuyển, tiêu huỷ mẫu bệnh phẩm liên quan đến tác nhân gây bệnh truyền nhiễm thực hiện theo đúng các qui định của pháp luật và tự chịu trách nhiệm về các hoạt động của mình./.</w:t>
      </w:r>
    </w:p>
    <w:p>
      <w:r>
        <w:rPr>
          <w:i/>
        </w:rPr>
        <w:t>Nguồn: Cơ sở dữ liệu quốc gia về văn bản pháp luật (Bộ Tư pháp). VietSmart Legal, legal.giangpham.asia/van-ban/27048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