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chế độ ăn, mặc, chăm sóc và quản lý học sinh trường giáo dưỡng</w:t>
      </w:r>
    </w:p>
    <w:p>
      <w:pPr>
        <w:jc w:val="both"/>
      </w:pPr>
      <w:r>
        <w:t>______________________</w:t>
      </w:r>
    </w:p>
    <w:p>
      <w:pPr>
        <w:jc w:val="both"/>
      </w:pPr>
      <w:r>
        <w:t>CHÍNH PHỦ</w:t>
      </w:r>
    </w:p>
    <w:p>
      <w:pPr>
        <w:jc w:val="both"/>
      </w:pPr>
      <w:r>
        <w:t>Căn cứ Luật Tổ chức Chính phủ ngày 25 tháng 12 năm 2001;</w:t>
      </w:r>
    </w:p>
    <w:p>
      <w:pPr>
        <w:jc w:val="both"/>
      </w:pPr>
      <w:r>
        <w:t>Căn cứ Luật Thi hành án hình sự ngày 17 tháng 6 năm 2010;</w:t>
      </w:r>
    </w:p>
    <w:p>
      <w:pPr>
        <w:jc w:val="both"/>
      </w:pPr>
      <w:r>
        <w:t>Xét đề nghị của Bộ trưởng Bộ Công an,</w:t>
      </w:r>
    </w:p>
    <w:p>
      <w:pPr>
        <w:jc w:val="center"/>
      </w:pPr>
      <w:r>
        <w:rPr>
          <w:b/>
        </w:rPr>
        <w:t>NGHỊ ĐỊNH:</w:t>
      </w:r>
    </w:p>
    <w:p>
      <w:pPr>
        <w:jc w:val="both"/>
      </w:pPr>
      <w:r>
        <w:rPr>
          <w:b/>
        </w:rPr>
        <w:t>Điều 1. Phạm vi điều chỉnh</w:t>
      </w:r>
    </w:p>
    <w:p>
      <w:pPr>
        <w:jc w:val="both"/>
      </w:pPr>
      <w:r>
        <w:t>Nghị định này quy định cụ thể chế độ ăn, mặc, chăm sóc y tế; chế độ sinh hoạt, học tập; chế độ thăm gặp người thân; nhận, gửi thư, nhận tiền, quà và chế độ quản lý học sinh trường giáo dưỡng (gọi chung là chế độ chăm sóc, quản lý học sinh trường giáo dưỡng) theo quy định của Luật Thi hành án hình sự.</w:t>
      </w:r>
    </w:p>
    <w:p>
      <w:pPr>
        <w:jc w:val="both"/>
      </w:pPr>
      <w:r>
        <w:rPr>
          <w:b/>
        </w:rPr>
        <w:t>Điều 2. Đối tượng áp dụng</w:t>
      </w:r>
    </w:p>
    <w:p>
      <w:pPr>
        <w:jc w:val="both"/>
      </w:pPr>
      <w:r>
        <w:t>Nghị định này áp dụng đối với học sinh trường giáo dưỡng và các cơ quan, tổ chức, cá nhân có liên quan đến việc bảo đảm thực hiện chế độ chăm sóc, quản lý học sinh trường giáo dưỡng.</w:t>
      </w:r>
    </w:p>
    <w:p>
      <w:pPr>
        <w:jc w:val="both"/>
      </w:pPr>
      <w:r>
        <w:rPr>
          <w:b/>
        </w:rPr>
        <w:t>Điều 3. Chế độ chăm sóc, quản lý học sinh trường giáo dưỡng</w:t>
      </w:r>
    </w:p>
    <w:p>
      <w:pPr>
        <w:jc w:val="both"/>
      </w:pPr>
      <w:r>
        <w:t>Chế độ chăm sóc, quản lý học sinh trường giáo dưỡng thực hiện theo quy định tại các Điều 25 Nghị định số 142/2003/NĐ-CP ngày 24 tháng 11 năm 2003 quy định việc áp dụng biện pháp xử lý hành chính đưa vào trường giáo dưỡng và quy định các khoản 17, 18, 19, 20, điểm 1 khoản 21, khoản 23 Điều 1 Nghị định số 66/2009/NĐ-CP ngày 01 tháng 8 năm 2009 về sửa đổi, bổ sung một số điều của Nghị định số 142/2003/NĐ-CP ngày 24 tháng 11 năm 2003 quy định việc áp dụng biện pháp xử lý hành chính đưa vào trường giáo dưỡng và quy định tại khoản 2 Điều 4 Nghị định số 118/2010/NĐ-CP ngày 29 tháng 12 năm 2010 về sửa đổi, bổ sung một số điều của các nghị định quy định về áp dụng biện pháp đưa vào cơ sở giáo dục, trường giáo dưỡng.</w:t>
      </w:r>
    </w:p>
    <w:p>
      <w:pPr>
        <w:jc w:val="both"/>
      </w:pPr>
      <w:r>
        <w:rPr>
          <w:b/>
        </w:rPr>
        <w:t>Điều 4. Hiệu lực thi hành</w:t>
      </w:r>
    </w:p>
    <w:p>
      <w:pPr>
        <w:jc w:val="both"/>
      </w:pPr>
      <w:r>
        <w:t>Nghị định này có hiệu lực thi hành kể từ ngày 01 tháng 11 năm 2011.</w:t>
      </w:r>
    </w:p>
    <w:p>
      <w:pPr>
        <w:jc w:val="both"/>
      </w:pPr>
      <w:r>
        <w:t>Bãi bỏ các Điều 17, 18 và 19 Nghị định số 52/2001/NĐ-CP ngày 23 tháng 8 năm 2001 về hướng dẫn thi hành biện pháp tư pháp đưa người vào trường giáo dưỡng.</w:t>
      </w:r>
    </w:p>
    <w:p>
      <w:pPr>
        <w:jc w:val="both"/>
      </w:pPr>
      <w:r>
        <w:rPr>
          <w:b/>
        </w:rPr>
        <w:t>Điều 5. Trách nhiệm thi hành</w:t>
      </w:r>
    </w:p>
    <w:p>
      <w:pPr>
        <w:jc w:val="both"/>
      </w:pPr>
      <w:r>
        <w:t>1. Bộ Công an chịu trách nhiệm tổ chức thực hiện và hướng dẫn, kiểm tra, việc thi hành Nghị định này.</w:t>
      </w:r>
    </w:p>
    <w:p>
      <w:pPr>
        <w:jc w:val="both"/>
      </w:pPr>
      <w:r>
        <w:t>2. Các Bộ trưởng, Thủ trưởng cơ quan ngang Bộ, cơ quan thuộc Chính phủ, Chủ tịch Ủy ban nhân dân tỉnh, thành phố trực thuộc Trung ương và các cơ quan, tổ chức, cá nhân có liên quan chịu trách nhiệm thi hành Nghị định này./.</w:t>
      </w:r>
    </w:p>
    <w:p>
      <w:r>
        <w:rPr>
          <w:i/>
        </w:rPr>
        <w:t>Nguồn: Cơ sở dữ liệu quốc gia về văn bản pháp luật (Bộ Tư pháp). VietSmart Legal, legal.giangpham.asia/van-ban/26869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