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QUYẾT</w:t>
      </w:r>
    </w:p>
    <w:p>
      <w:pPr>
        <w:jc w:val="both"/>
      </w:pPr>
      <w:r>
        <w:t>Về Biểu thuế bảo vệ môi trường</w:t>
      </w:r>
    </w:p>
    <w:p>
      <w:pPr>
        <w:jc w:val="both"/>
      </w:pPr>
      <w:r>
        <w:t>____________</w:t>
      </w:r>
    </w:p>
    <w:p>
      <w:pPr>
        <w:jc w:val="both"/>
      </w:pPr>
      <w:r>
        <w:t>ỦY BAN THƯỜNG VỤ QUỐC HỘI</w:t>
      </w:r>
    </w:p>
    <w:p>
      <w:pPr>
        <w:jc w:val="both"/>
      </w:pPr>
      <w:r>
        <w:t>NƯỚC CỘNG HÒA XÃ HỘI CHỦ NGHĨA VIỆT NAM</w:t>
      </w:r>
    </w:p>
    <w:p>
      <w:pPr>
        <w:jc w:val="both"/>
      </w:pPr>
      <w:r>
        <w:t>Căn cứ Hiến pháp nước Cộng hòa xã hội chủ nghĩa Việt Nam năm 1992 đã được sửa đổi, bổ sung một số điều theo Nghị quyết số 51/2001/QH10;</w:t>
      </w:r>
    </w:p>
    <w:p>
      <w:pPr>
        <w:jc w:val="both"/>
      </w:pPr>
      <w:r>
        <w:t>Căn cứ Luật Thuế bảo vệ môi trường số 57/2010/QH12,</w:t>
      </w:r>
    </w:p>
    <w:p>
      <w:pPr>
        <w:jc w:val="both"/>
      </w:pPr>
      <w:r>
        <w:t>QUYẾT NGHỊ:</w:t>
      </w:r>
    </w:p>
    <w:p>
      <w:pPr>
        <w:jc w:val="both"/>
      </w:pPr>
      <w:r>
        <w:rPr>
          <w:b/>
        </w:rPr>
        <w:t>Điều 1. Biểu thuế bảo vệ môi trường</w:t>
      </w:r>
    </w:p>
    <w:p>
      <w:pPr>
        <w:jc w:val="both"/>
      </w:pPr>
      <w:r>
        <w:t>1. Mức thuế bảo vệ môi trường được quy định cụ thể như sau:</w:t>
      </w:r>
    </w:p>
    <w:p>
      <w:pPr>
        <w:jc w:val="both"/>
      </w:pPr>
      <w:r>
        <w:t>Số thứ tự</w:t>
      </w:r>
    </w:p>
    <w:p>
      <w:pPr>
        <w:jc w:val="both"/>
      </w:pPr>
      <w:r>
        <w:t>Hàng hóa</w:t>
      </w:r>
    </w:p>
    <w:p>
      <w:pPr>
        <w:jc w:val="both"/>
      </w:pPr>
      <w:r>
        <w:t>Đơn vị tính</w:t>
      </w:r>
    </w:p>
    <w:p>
      <w:pPr>
        <w:jc w:val="both"/>
      </w:pPr>
      <w:r>
        <w:t>Mức thuế</w:t>
      </w:r>
    </w:p>
    <w:p>
      <w:pPr>
        <w:jc w:val="both"/>
      </w:pPr>
      <w:r>
        <w:t>(đồng/1 đơn vị hàng hóa)</w:t>
      </w:r>
    </w:p>
    <w:p>
      <w:pPr>
        <w:jc w:val="both"/>
      </w:pPr>
      <w:r>
        <w:t>I</w:t>
      </w:r>
    </w:p>
    <w:p>
      <w:pPr>
        <w:jc w:val="both"/>
      </w:pPr>
      <w:r>
        <w:t>Xăng, dầu, mỡ nhờn</w:t>
      </w:r>
    </w:p>
    <w:p>
      <w:pPr>
        <w:jc w:val="both"/>
      </w:pPr>
      <w:r>
        <w:t>1</w:t>
      </w:r>
    </w:p>
    <w:p>
      <w:pPr>
        <w:jc w:val="both"/>
      </w:pPr>
      <w:r>
        <w:t>Xăng, trừ etanol</w:t>
      </w:r>
    </w:p>
    <w:p>
      <w:pPr>
        <w:jc w:val="both"/>
      </w:pPr>
      <w:r>
        <w:t>Lít</w:t>
      </w:r>
    </w:p>
    <w:p>
      <w:pPr>
        <w:jc w:val="both"/>
      </w:pPr>
      <w:r>
        <w:t>1.000</w:t>
      </w:r>
    </w:p>
    <w:p>
      <w:pPr>
        <w:jc w:val="both"/>
      </w:pPr>
      <w:r>
        <w:t>2</w:t>
      </w:r>
    </w:p>
    <w:p>
      <w:pPr>
        <w:jc w:val="both"/>
      </w:pPr>
      <w:r>
        <w:t>Nhiên liệu bay</w:t>
      </w:r>
    </w:p>
    <w:p>
      <w:pPr>
        <w:jc w:val="both"/>
      </w:pPr>
      <w:r>
        <w:t>Lít</w:t>
      </w:r>
    </w:p>
    <w:p>
      <w:pPr>
        <w:jc w:val="both"/>
      </w:pPr>
      <w:r>
        <w:t>1.000</w:t>
      </w:r>
    </w:p>
    <w:p>
      <w:pPr>
        <w:jc w:val="both"/>
      </w:pPr>
      <w:r>
        <w:t>3</w:t>
      </w:r>
    </w:p>
    <w:p>
      <w:pPr>
        <w:jc w:val="both"/>
      </w:pPr>
      <w:r>
        <w:t>Dầu diezel</w:t>
      </w:r>
    </w:p>
    <w:p>
      <w:pPr>
        <w:jc w:val="both"/>
      </w:pPr>
      <w:r>
        <w:t>Lít</w:t>
      </w:r>
    </w:p>
    <w:p>
      <w:pPr>
        <w:jc w:val="both"/>
      </w:pPr>
      <w:r>
        <w:t>500</w:t>
      </w:r>
    </w:p>
    <w:p>
      <w:pPr>
        <w:jc w:val="both"/>
      </w:pPr>
      <w:r>
        <w:t>4</w:t>
      </w:r>
    </w:p>
    <w:p>
      <w:pPr>
        <w:jc w:val="both"/>
      </w:pPr>
      <w:r>
        <w:t>Dầu hỏa</w:t>
      </w:r>
    </w:p>
    <w:p>
      <w:pPr>
        <w:jc w:val="both"/>
      </w:pPr>
      <w:r>
        <w:t>Lít</w:t>
      </w:r>
    </w:p>
    <w:p>
      <w:pPr>
        <w:jc w:val="both"/>
      </w:pPr>
      <w:r>
        <w:t>300</w:t>
      </w:r>
    </w:p>
    <w:p>
      <w:pPr>
        <w:jc w:val="both"/>
      </w:pPr>
      <w:r>
        <w:t>5</w:t>
      </w:r>
    </w:p>
    <w:p>
      <w:pPr>
        <w:jc w:val="both"/>
      </w:pPr>
      <w:r>
        <w:t>Dầu mazut</w:t>
      </w:r>
    </w:p>
    <w:p>
      <w:pPr>
        <w:jc w:val="both"/>
      </w:pPr>
      <w:r>
        <w:t>Lít</w:t>
      </w:r>
    </w:p>
    <w:p>
      <w:pPr>
        <w:jc w:val="both"/>
      </w:pPr>
      <w:r>
        <w:t>300</w:t>
      </w:r>
    </w:p>
    <w:p>
      <w:pPr>
        <w:jc w:val="both"/>
      </w:pPr>
      <w:r>
        <w:t>6</w:t>
      </w:r>
    </w:p>
    <w:p>
      <w:pPr>
        <w:jc w:val="both"/>
      </w:pPr>
      <w:r>
        <w:t>Dầu nhờn</w:t>
      </w:r>
    </w:p>
    <w:p>
      <w:pPr>
        <w:jc w:val="both"/>
      </w:pPr>
      <w:r>
        <w:t>Lít</w:t>
      </w:r>
    </w:p>
    <w:p>
      <w:pPr>
        <w:jc w:val="both"/>
      </w:pPr>
      <w:r>
        <w:t>300</w:t>
      </w:r>
    </w:p>
    <w:p>
      <w:pPr>
        <w:jc w:val="both"/>
      </w:pPr>
      <w:r>
        <w:t>7</w:t>
      </w:r>
    </w:p>
    <w:p>
      <w:pPr>
        <w:jc w:val="both"/>
      </w:pPr>
      <w:r>
        <w:t>Mỡ nhờn</w:t>
      </w:r>
    </w:p>
    <w:p>
      <w:pPr>
        <w:jc w:val="both"/>
      </w:pPr>
      <w:r>
        <w:t>Kg</w:t>
      </w:r>
    </w:p>
    <w:p>
      <w:pPr>
        <w:jc w:val="both"/>
      </w:pPr>
      <w:r>
        <w:t>300</w:t>
      </w:r>
    </w:p>
    <w:p>
      <w:pPr>
        <w:jc w:val="both"/>
      </w:pPr>
      <w:r>
        <w:t>II</w:t>
      </w:r>
    </w:p>
    <w:p>
      <w:pPr>
        <w:jc w:val="both"/>
      </w:pPr>
      <w:r>
        <w:t>Than đá</w:t>
      </w:r>
    </w:p>
    <w:p>
      <w:pPr>
        <w:jc w:val="both"/>
      </w:pPr>
      <w:r>
        <w:t>1</w:t>
      </w:r>
    </w:p>
    <w:p>
      <w:pPr>
        <w:jc w:val="both"/>
      </w:pPr>
      <w:r>
        <w:t>Than nâu</w:t>
      </w:r>
    </w:p>
    <w:p>
      <w:pPr>
        <w:jc w:val="both"/>
      </w:pPr>
      <w:r>
        <w:t>Tấn</w:t>
      </w:r>
    </w:p>
    <w:p>
      <w:pPr>
        <w:jc w:val="both"/>
      </w:pPr>
      <w:r>
        <w:t>10.000</w:t>
      </w:r>
    </w:p>
    <w:p>
      <w:pPr>
        <w:jc w:val="both"/>
      </w:pPr>
      <w:r>
        <w:t>2</w:t>
      </w:r>
    </w:p>
    <w:p>
      <w:pPr>
        <w:jc w:val="both"/>
      </w:pPr>
      <w:r>
        <w:t>Than an - tra - xít (antraxit)</w:t>
      </w:r>
    </w:p>
    <w:p>
      <w:pPr>
        <w:jc w:val="both"/>
      </w:pPr>
      <w:r>
        <w:t>Tấn</w:t>
      </w:r>
    </w:p>
    <w:p>
      <w:pPr>
        <w:jc w:val="both"/>
      </w:pPr>
      <w:r>
        <w:t>20.000</w:t>
      </w:r>
    </w:p>
    <w:p>
      <w:pPr>
        <w:jc w:val="both"/>
      </w:pPr>
      <w:r>
        <w:t>3</w:t>
      </w:r>
    </w:p>
    <w:p>
      <w:pPr>
        <w:jc w:val="both"/>
      </w:pPr>
      <w:r>
        <w:t>Than mỡ</w:t>
      </w:r>
    </w:p>
    <w:p>
      <w:pPr>
        <w:jc w:val="both"/>
      </w:pPr>
      <w:r>
        <w:t>Tấn</w:t>
      </w:r>
    </w:p>
    <w:p>
      <w:pPr>
        <w:jc w:val="both"/>
      </w:pPr>
      <w:r>
        <w:t>10.000</w:t>
      </w:r>
    </w:p>
    <w:p>
      <w:pPr>
        <w:jc w:val="both"/>
      </w:pPr>
      <w:r>
        <w:t>4</w:t>
      </w:r>
    </w:p>
    <w:p>
      <w:pPr>
        <w:jc w:val="both"/>
      </w:pPr>
      <w:r>
        <w:t>Than đá khác</w:t>
      </w:r>
    </w:p>
    <w:p>
      <w:pPr>
        <w:jc w:val="both"/>
      </w:pPr>
      <w:r>
        <w:t>Tấn</w:t>
      </w:r>
    </w:p>
    <w:p>
      <w:pPr>
        <w:jc w:val="both"/>
      </w:pPr>
      <w:r>
        <w:t>10.000</w:t>
      </w:r>
    </w:p>
    <w:p>
      <w:pPr>
        <w:jc w:val="both"/>
      </w:pPr>
      <w:r>
        <w:t>III</w:t>
      </w:r>
    </w:p>
    <w:p>
      <w:pPr>
        <w:jc w:val="both"/>
      </w:pPr>
      <w:r>
        <w:t>Dung dịch Hydro-chloro-fluoro-carbon (HCFC)</w:t>
      </w:r>
    </w:p>
    <w:p>
      <w:pPr>
        <w:jc w:val="both"/>
      </w:pPr>
      <w:r>
        <w:t>kg</w:t>
      </w:r>
    </w:p>
    <w:p>
      <w:pPr>
        <w:jc w:val="both"/>
      </w:pPr>
      <w:r>
        <w:t>4.000</w:t>
      </w:r>
    </w:p>
    <w:p>
      <w:pPr>
        <w:jc w:val="both"/>
      </w:pPr>
      <w:r>
        <w:t>IV</w:t>
      </w:r>
    </w:p>
    <w:p>
      <w:pPr>
        <w:jc w:val="both"/>
      </w:pPr>
      <w:r>
        <w:t>Túi ni lông thuộc diện chịu thuế</w:t>
      </w:r>
    </w:p>
    <w:p>
      <w:pPr>
        <w:jc w:val="both"/>
      </w:pPr>
      <w:r>
        <w:t>kg</w:t>
      </w:r>
    </w:p>
    <w:p>
      <w:pPr>
        <w:jc w:val="both"/>
      </w:pPr>
      <w:r>
        <w:t>40.000</w:t>
      </w:r>
    </w:p>
    <w:p>
      <w:pPr>
        <w:jc w:val="both"/>
      </w:pPr>
      <w:r>
        <w:t>V</w:t>
      </w:r>
    </w:p>
    <w:p>
      <w:pPr>
        <w:jc w:val="both"/>
      </w:pPr>
      <w:r>
        <w:t>Thuốc diệt cỏ thuộc loại hạn chế sử dụng</w:t>
      </w:r>
    </w:p>
    <w:p>
      <w:pPr>
        <w:jc w:val="both"/>
      </w:pPr>
      <w:r>
        <w:t>kg</w:t>
      </w:r>
    </w:p>
    <w:p>
      <w:pPr>
        <w:jc w:val="both"/>
      </w:pPr>
      <w:r>
        <w:t>500</w:t>
      </w:r>
    </w:p>
    <w:p>
      <w:pPr>
        <w:jc w:val="both"/>
      </w:pPr>
      <w:r>
        <w:t>VI</w:t>
      </w:r>
    </w:p>
    <w:p>
      <w:pPr>
        <w:jc w:val="both"/>
      </w:pPr>
      <w:r>
        <w:t>Thuốc trừ mối thuộc loại hạn chế sử dụng</w:t>
      </w:r>
    </w:p>
    <w:p>
      <w:pPr>
        <w:jc w:val="both"/>
      </w:pPr>
      <w:r>
        <w:t>kg</w:t>
      </w:r>
    </w:p>
    <w:p>
      <w:pPr>
        <w:jc w:val="both"/>
      </w:pPr>
      <w:r>
        <w:t>1.000</w:t>
      </w:r>
    </w:p>
    <w:p>
      <w:pPr>
        <w:jc w:val="both"/>
      </w:pPr>
      <w:r>
        <w:t>VII</w:t>
      </w:r>
    </w:p>
    <w:p>
      <w:pPr>
        <w:jc w:val="both"/>
      </w:pPr>
      <w:r>
        <w:t>Thuốc bảo quản lâm sản thuộc loại hạn chế sử dụng</w:t>
      </w:r>
    </w:p>
    <w:p>
      <w:pPr>
        <w:jc w:val="both"/>
      </w:pPr>
      <w:r>
        <w:t>kg</w:t>
      </w:r>
    </w:p>
    <w:p>
      <w:pPr>
        <w:jc w:val="both"/>
      </w:pPr>
      <w:r>
        <w:t>1.000</w:t>
      </w:r>
    </w:p>
    <w:p>
      <w:pPr>
        <w:jc w:val="both"/>
      </w:pPr>
      <w:r>
        <w:t>VIII</w:t>
      </w:r>
    </w:p>
    <w:p>
      <w:pPr>
        <w:jc w:val="both"/>
      </w:pPr>
      <w:r>
        <w:t>Thuốc khử trùng kho thuộc loại hạn chế sử dụng</w:t>
      </w:r>
    </w:p>
    <w:p>
      <w:pPr>
        <w:jc w:val="both"/>
      </w:pPr>
      <w:r>
        <w:t>kg</w:t>
      </w:r>
    </w:p>
    <w:p>
      <w:pPr>
        <w:jc w:val="both"/>
      </w:pPr>
      <w:r>
        <w:t>1.000</w:t>
      </w:r>
    </w:p>
    <w:p>
      <w:pPr>
        <w:jc w:val="both"/>
      </w:pPr>
      <w:r>
        <w:t>2. Chi tiết hàng hóa quy định tại các mục VI, VII và VIII trong Biểu thuế bảo vệ môi trường được quy định tại Phụ lục kèm theo Nghị quyết này.</w:t>
      </w:r>
    </w:p>
    <w:p>
      <w:pPr>
        <w:jc w:val="both"/>
      </w:pPr>
      <w:r>
        <w:rPr>
          <w:b/>
        </w:rPr>
        <w:t>Điều 2. Hiệu lực thi hành</w:t>
      </w:r>
    </w:p>
    <w:p>
      <w:pPr>
        <w:jc w:val="both"/>
      </w:pPr>
      <w:r>
        <w:t>Nghị quyết này có hiệu lực thi hành từ ngày 01 tháng 01 năm 2012./.</w:t>
      </w:r>
    </w:p>
    <w:p>
      <w:r>
        <w:rPr>
          <w:i/>
        </w:rPr>
        <w:t>Nguồn: Cơ sở dữ liệu quốc gia về văn bản pháp luật (Bộ Tư pháp). VietSmart Legal, legal.giangpham.asia/van-ban/26809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