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41/2011/TT-BTC</w:t>
      </w:r>
    </w:p>
    <w:p>
      <w:pPr>
        <w:jc w:val="both"/>
      </w:pPr>
      <w:r>
        <w:t>Hà Nội, ngày 24 tháng 3 năm 2011</w:t>
      </w:r>
    </w:p>
    <w:p>
      <w:pPr>
        <w:jc w:val="center"/>
      </w:pPr>
      <w:r>
        <w:rPr>
          <w:b/>
        </w:rPr>
        <w:t>THÔNG TƯ</w:t>
      </w:r>
    </w:p>
    <w:p>
      <w:pPr>
        <w:jc w:val="both"/>
      </w:pPr>
      <w:r>
        <w:t>Sửa đổi, bổ sung Thông tư số 193/2010/TT-BTC ngày 02/12/2010 quy định chế độ thu, nộp, quản lý và sử dụng phí thẩm định điều kiện về an ninh trật tự; phí sát hạch cấp chứng chỉ nghiệp vụ bảo vệ; lệ phí cấp giấy chứng nhận đã đăng ký mẫu dấu; lệ phí cấp giấy phép mang pháo hoa vào, ra Việt Nam; lệ phí cấp giấy phép quản lý vũ khí, vật liệu nổ, công cụ hỗ trợ</w:t>
      </w:r>
    </w:p>
    <w:p>
      <w:pPr>
        <w:jc w:val="both"/>
      </w:pPr>
      <w:r>
        <w:t>________________________________________</w:t>
      </w:r>
    </w:p>
    <w:p>
      <w:pPr>
        <w:jc w:val="both"/>
      </w:pPr>
      <w:r>
        <w:t>Căn cứ Nghị định số 57/2002/NĐ-CP ngày 03/9/2002 của Chính phủ quy định chi tiết thi hành Pháp lệnh phí và lệ phí; Nghị định số 24/2006/NĐ-CP ngày 6/3/2006 sửa đổi, bổ sung Nghị định số 57/2002/NĐ-CP ngày 03/9/2002;</w:t>
      </w:r>
    </w:p>
    <w:p>
      <w:pPr>
        <w:jc w:val="both"/>
      </w:pPr>
      <w:r>
        <w:t>Căn cứ Nghị định số 47/CP ngày 12/8/1996 của Chính phủ về quản lý vũ khí, vật liệu nổ và công cụ hỗ trợ;</w:t>
      </w:r>
    </w:p>
    <w:p>
      <w:pPr>
        <w:jc w:val="both"/>
      </w:pPr>
      <w:r>
        <w:t>Căn cứ Nghị định số 52/2008/NĐ-CP của Chính phủ ngày 22/4/2008 quy định về quản lý kinh doanh dịch vụ bảo vệ;</w:t>
      </w:r>
    </w:p>
    <w:p>
      <w:pPr>
        <w:jc w:val="both"/>
      </w:pPr>
      <w:r>
        <w:t>Căn cứ Nghị định số 58/2001/NĐ-CP ngày 24/8/2001 của Chính phủ về quản lý và sử dụng con dấu và Nghị định số 31/2009/NĐ-CP ngày 01/4/2009 sửa đổi, bổ sung một số điều của Nghị định 58/2001/NĐ-CP ngày 24/8/2001;</w:t>
      </w:r>
    </w:p>
    <w:p>
      <w:pPr>
        <w:jc w:val="both"/>
      </w:pPr>
      <w:r>
        <w:t>Căn cứ Nghị định số 118/2008/NĐ-CP ngày 27/11/2008 của Chính phủ quy định chức năng, nhiệm vụ, quyền hạn và cơ cấu tổ chức của Bộ Tài chính;</w:t>
      </w:r>
    </w:p>
    <w:p>
      <w:pPr>
        <w:jc w:val="both"/>
      </w:pPr>
      <w:r>
        <w:t>Bộ Tài chính quy định chế độ thu, nộp và quản lý sử dụng lệ phí cấp giấy chứng nhận đã đăng ký mẫu dấu như sau:</w:t>
      </w:r>
    </w:p>
    <w:p>
      <w:pPr>
        <w:jc w:val="both"/>
      </w:pPr>
      <w:r>
        <w:rPr>
          <w:b/>
        </w:rPr>
        <w:t>Điều 1. Bổ sung khoản 3 Điều 2 như sau:</w:t>
      </w:r>
    </w:p>
    <w:p>
      <w:pPr>
        <w:jc w:val="both"/>
      </w:pPr>
      <w:r>
        <w:t>"3. Trường hợp cấp giấy chứng nhận đã đăng ký mẫu dấu của các Tổ bầu cử Quốc hội, Hội đồng nhân dân các cấp thực hiện miễn thu, không áp dụng mức thu theo Biểu mức thu phí, lệ phí ban hành kèm theo Thông tư này".</w:t>
      </w:r>
    </w:p>
    <w:p>
      <w:pPr>
        <w:jc w:val="both"/>
      </w:pPr>
      <w:r>
        <w:rPr>
          <w:b/>
        </w:rPr>
        <w:t>Điều 2.</w:t>
      </w:r>
    </w:p>
    <w:p>
      <w:pPr>
        <w:jc w:val="both"/>
      </w:pPr>
      <w:r>
        <w:t>1. Thông tư này có hiệu lực kể từ ngày ký.</w:t>
      </w:r>
    </w:p>
    <w:p>
      <w:pPr>
        <w:jc w:val="both"/>
      </w:pPr>
      <w:r>
        <w:t>2. Các nội dung khác liên quan đến phí thẩm định điều kiện về an ninh trật tự; phí sát hạch cấp chứng chỉ nghiệp vụ bảo vệ; lệ phí cấp giấy chứng nhận đã đăng ký mẫu dấu; lệ phí cấp giấy phép mang pháo hoa vào, ra Việt Nam; lệ phí cấp giấy phép quản lý vũ khí, vật liệu nổ, công cụ hỗ trợ không đề cập đến Thông tư này vẫn được thực hiện theo hướng dẫn tại Thông tư số 193/2010/TT-BTC ngày 02/12/2010 của Bộ Tài chính.</w:t>
      </w:r>
    </w:p>
    <w:p>
      <w:pPr>
        <w:jc w:val="both"/>
      </w:pPr>
      <w:r>
        <w:t>3. Tổ chức, cá nhân thuộc đối tượng nộp phí,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legal.giangpham.asia/van-ban/26387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