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34/2011/TT-BTC</w:t>
      </w:r>
    </w:p>
    <w:p>
      <w:pPr>
        <w:jc w:val="both"/>
      </w:pPr>
      <w:r>
        <w:t>Hà Nội, ngày 14 tháng 3 năm 2011</w:t>
      </w:r>
    </w:p>
    <w:p>
      <w:pPr>
        <w:jc w:val="center"/>
      </w:pPr>
      <w:r>
        <w:rPr>
          <w:b/>
        </w:rPr>
        <w:t>THÔNG TƯ</w:t>
      </w:r>
    </w:p>
    <w:p>
      <w:pPr>
        <w:jc w:val="both"/>
      </w:pPr>
      <w:r>
        <w:t>Sửa đổi thông tư số 228/2009/TT-BTC ngày 7 tháng 12 năm 2009 của</w:t>
      </w:r>
    </w:p>
    <w:p>
      <w:pPr>
        <w:jc w:val="both"/>
      </w:pPr>
      <w:r>
        <w:t>Bộ Tài chính hướng dẫn chế độ trích lập và sử dụng các khoản dự phòng</w:t>
      </w:r>
    </w:p>
    <w:p>
      <w:pPr>
        <w:jc w:val="both"/>
      </w:pPr>
      <w:r>
        <w:t>giảm giá hàng tồn kho, tổn thất các khoản đầu tư tài chính, nợ phải thu khó</w:t>
      </w:r>
    </w:p>
    <w:p>
      <w:pPr>
        <w:jc w:val="both"/>
      </w:pPr>
      <w:r>
        <w:t>đòi và bảo hành sản phẩm, hàng hoá, công trình xây lắp tại doanh nghiệp</w:t>
      </w:r>
    </w:p>
    <w:p>
      <w:pPr>
        <w:jc w:val="both"/>
      </w:pPr>
      <w:r>
        <w:t>_________________________________________</w:t>
      </w:r>
    </w:p>
    <w:p>
      <w:pPr>
        <w:jc w:val="both"/>
      </w:pPr>
      <w:r>
        <w:t>Căn cứ Luật Chứng khoán;</w:t>
      </w:r>
    </w:p>
    <w:p>
      <w:pPr>
        <w:jc w:val="both"/>
      </w:pPr>
      <w:r>
        <w:t>Căn cứ Nghị định số 124/2008/NĐ-CP ngày 11/12/2008 của Chính phủ quy định chi tiết và hướng dẫn thi hành một số điều của Luật Thuế thu nhập doanh nghiệp;</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Thông tư số 228/2009/TT-BTC ngày 7 tháng 12 năm 2009 của Bộ Tài chính Hướng dẫn chế độ trích lập và sử dụng các khoản dự phòng giảm giá hàng tồn kho, tổn thất các khoản đầu tư tài chính, nợ phải thu khó đòi và bảo hành sản phẩm, hàng hoá, công trình xây lắp tại doanh nghiệp (gọi tắt là Thông tư số 228/2009/TT-BTC) như sau:</w:t>
      </w:r>
    </w:p>
    <w:p>
      <w:pPr>
        <w:jc w:val="both"/>
      </w:pPr>
      <w:r>
        <w:rPr>
          <w:b/>
        </w:rPr>
        <w:t>Điều 1. Đối tượng áp dụng.</w:t>
      </w:r>
    </w:p>
    <w:p>
      <w:pPr>
        <w:jc w:val="both"/>
      </w:pPr>
      <w:r>
        <w:t>Bãi bỏ khoản 2 Điều 1 Thông tư số 228/2009/TT-BTC.</w:t>
      </w:r>
    </w:p>
    <w:p>
      <w:pPr>
        <w:jc w:val="both"/>
      </w:pPr>
      <w:r>
        <w:rPr>
          <w:b/>
        </w:rPr>
        <w:t>Điều 2. Tổ chức thực hiện</w:t>
      </w:r>
    </w:p>
    <w:p>
      <w:pPr>
        <w:jc w:val="both"/>
      </w:pPr>
      <w:r>
        <w:t>Thông tư này có hiệu lực thi hành sau 45 ngày kể từ ngày ký và được áp dụng từ năm tài chính 2011. Trong quá trình thực hiện, nếu có vướng mắc đề nghị phản ánh kịp thời về Bộ Tài chính để được giải quyết kịp thời./.</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legal.giangpham.asia/van-ban/26320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