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13/2011/TT-BTC</w:t>
      </w:r>
    </w:p>
    <w:p>
      <w:pPr>
        <w:jc w:val="both"/>
      </w:pPr>
      <w:r>
        <w:t>Hà Nội, ngày 8 tháng 2 năm 2011</w:t>
      </w:r>
    </w:p>
    <w:p>
      <w:pPr>
        <w:jc w:val="center"/>
      </w:pPr>
      <w:r>
        <w:rPr>
          <w:b/>
        </w:rPr>
        <w:t>THÔNG TƯ</w:t>
      </w:r>
    </w:p>
    <w:p>
      <w:pPr>
        <w:jc w:val="both"/>
      </w:pPr>
      <w:r>
        <w:t>Sửa đổi, bổ sung Thông tư số 153/2010/TT-BTC ngày 28/9/2010 hướng dẫn thi hành</w:t>
      </w:r>
    </w:p>
    <w:p>
      <w:pPr>
        <w:jc w:val="both"/>
      </w:pPr>
      <w:r>
        <w:t>Nghị định số 51/2010/NĐ-CP ngày 14/5/2010 quy định về hóa đơn bán hàng hóa, cung ứng dịch vụ</w:t>
      </w:r>
    </w:p>
    <w:p>
      <w:pPr>
        <w:jc w:val="both"/>
      </w:pPr>
      <w:r>
        <w:t>_____________________________________________</w:t>
      </w:r>
    </w:p>
    <w:p>
      <w:pPr>
        <w:jc w:val="both"/>
      </w:pPr>
      <w:r>
        <w:t>Căn cứ Luật Quản lý thuế số 78/2006/QH11 ngày 29 tháng 11 năm 2006;</w:t>
      </w:r>
    </w:p>
    <w:p>
      <w:pPr>
        <w:jc w:val="both"/>
      </w:pPr>
      <w:r>
        <w:t>Căn cứ Luật Kế toán số 03/2003/QH11 ngày 17 tháng 6 năm 2003;</w:t>
      </w:r>
    </w:p>
    <w:p>
      <w:pPr>
        <w:jc w:val="both"/>
      </w:pPr>
      <w:r>
        <w:t>Căn cứ Luật Thuế giá trị gia tăng số 13/2008/QH12 ngày 03 tháng 6 năm 2008;</w:t>
      </w:r>
    </w:p>
    <w:p>
      <w:pPr>
        <w:jc w:val="both"/>
      </w:pPr>
      <w:r>
        <w:t>Căn cứ Luật Giao dịch điện tử số 51/2005/QH11 ngày 29 tháng 11 năm 2005;</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Căn cứ Nghị định số 51/2010/NĐ-CP ngày 14 tháng 5 năm 2010 của Chính phủ quy định về hoá đơn bán hàng hóa, cung ứng dịch vụ;\</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sửa đổi, bổ sung Thông tư số 153/2010/TT-BTC ngày 28/9/2010 về hoá đơn bán hàng hoá, cung ứng dịch vụ như sau:</w:t>
      </w:r>
    </w:p>
    <w:p>
      <w:pPr>
        <w:jc w:val="both"/>
      </w:pPr>
      <w:r>
        <w:rPr>
          <w:b/>
        </w:rPr>
        <w:t>Điều 1. Sửa đổi điểm a, điểm b khoản 1 Điều 6 Thông tư số 153/2010/TT-BTC ngày 28/9/2010 như sau:</w:t>
      </w:r>
    </w:p>
    <w:p>
      <w:pPr>
        <w:jc w:val="both"/>
      </w:pPr>
      <w:r>
        <w:t>“Điều 6. Tạo hóa đơn tự in</w:t>
      </w:r>
    </w:p>
    <w:p>
      <w:pPr>
        <w:jc w:val="both"/>
      </w:pPr>
      <w:r>
        <w:t>1. Đối tượng được tạo hóa đơn tự in</w:t>
      </w:r>
    </w:p>
    <w:p>
      <w:pPr>
        <w:jc w:val="both"/>
      </w:pPr>
      <w:r>
        <w:t>a) Các doanh nghiệp, đơn vị sự nghiệp được tạo hóa đơn tự in kể từ khi có mã số thuế gồm:</w:t>
      </w:r>
    </w:p>
    <w:p>
      <w:pPr>
        <w:jc w:val="both"/>
      </w:pPr>
      <w:r>
        <w:t>- Doanh nghiệp được thành lập theo quy định của pháp luật trong khu công nghiệp, khu kinh tế, khu chế xuất, khu công nghệ cao.</w:t>
      </w:r>
    </w:p>
    <w:p>
      <w:pPr>
        <w:jc w:val="both"/>
      </w:pPr>
      <w:r>
        <w:t>- Các đơn vị sự nghiệp công lập có sản xuất, kinh doanh theo quy định của pháp luật.</w:t>
      </w:r>
    </w:p>
    <w:p>
      <w:pPr>
        <w:jc w:val="both"/>
      </w:pPr>
      <w:r>
        <w:t>- Doanh nghiệp có mức vốn điều lệ từ một (01) tỷ đồng trở lên tính theo số vốn đã thực góp đến thời điểm thông báo phát hành hóa đơn.</w:t>
      </w:r>
    </w:p>
    <w:p>
      <w:pPr>
        <w:jc w:val="both"/>
      </w:pPr>
      <w:r>
        <w:t>b) Tổ chức kinh doanh đang hoạt động không thuộc các trường hợp nêu tại điểm a khoản này được tự in hoá đơn để sử dụng cho việc bán hàng hoá, cung ứng dịch vụ nếu có đủ các điều kiện sau:</w:t>
      </w:r>
    </w:p>
    <w:p>
      <w:pPr>
        <w:jc w:val="both"/>
      </w:pPr>
      <w:r>
        <w:t>- Đã được cấp mã số thuế;</w:t>
      </w:r>
    </w:p>
    <w:p>
      <w:pPr>
        <w:jc w:val="both"/>
      </w:pPr>
      <w:r>
        <w:t>- Có doanh thu bán hàng hoá, dịch vụ;</w:t>
      </w:r>
    </w:p>
    <w:p>
      <w:pPr>
        <w:jc w:val="both"/>
      </w:pPr>
      <w:r>
        <w:t>- Có hệ thống thiết bị (máy tính, máy in, máy tính tiền) đảm bảo cho việc in và lập hoá đơn khi bán hàng hoá, cung ứng dịch vụ;</w:t>
      </w:r>
    </w:p>
    <w:p>
      <w:pPr>
        <w:jc w:val="both"/>
      </w:pPr>
      <w:r>
        <w:t>- Là đơn vị kế toán theo quy định của Luật Kế toán và có phần mềm bán hàng hoá, dịch vụ gắn liền với phần mềm kế toán, đảm bảo dữ liệu của hoá đơn bán hàng hoá, dịch vụ được tự động chuyển vào phần mềm (hoặc cơ sở dữ liệu) kế toán tại thời điểm lập hoá đơn.</w:t>
      </w:r>
    </w:p>
    <w:p>
      <w:pPr>
        <w:jc w:val="both"/>
      </w:pPr>
      <w:r>
        <w:t>- Không bị xử phạt vi phạm pháp luật về thuế hoặc đã bị xử phạt và đã chấp hành xử phạt vi phạm pháp luật về thuế mà tổng số tiền phạt vi phạm pháp luật về thuế dưới năm mươi (50) triệu đồng trong vòng ba trăm sáu mươi lăm (365) ngày tính liên tục từ ngày thông báo phát hành hoá đơn tự in lần đầu trở về trước”.</w:t>
      </w:r>
    </w:p>
    <w:p>
      <w:pPr>
        <w:jc w:val="both"/>
      </w:pPr>
      <w:r>
        <w:rPr>
          <w:b/>
        </w:rPr>
        <w:t>Điều 2. Tổ chức thực hiện</w:t>
      </w:r>
    </w:p>
    <w:p>
      <w:pPr>
        <w:jc w:val="both"/>
      </w:pPr>
      <w:r>
        <w:t>Thông tư này có hiệu lực thi hành sau 45 ngày kể từ ngày ký.</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