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03/2011/TT-BGTVT</w:t>
      </w:r>
    </w:p>
    <w:p>
      <w:pPr>
        <w:jc w:val="both"/>
      </w:pPr>
      <w:r>
        <w:t>Hà Nội, ngày 22 tháng 2 năm 2011</w:t>
      </w:r>
    </w:p>
    <w:p>
      <w:pPr>
        <w:jc w:val="center"/>
      </w:pPr>
      <w:r>
        <w:rPr>
          <w:b/>
        </w:rPr>
        <w:t>THÔNG TƯ</w:t>
      </w:r>
    </w:p>
    <w:p>
      <w:pPr>
        <w:jc w:val="both"/>
      </w:pPr>
      <w:r>
        <w:t>Sửa đổi, bổ sung Thông tư số 07/2010/TT-BGTVT ngày 11/02/2010 của Bộ GTVT "Quy định về tải trọng, khổ giới hạn</w:t>
      </w:r>
    </w:p>
    <w:p>
      <w:pPr>
        <w:jc w:val="both"/>
      </w:pPr>
      <w:r>
        <w:t>của đường bộ; lưu hành xe quá tải trọng, xe quá khổ giới hạn, xe bánh xích trên đường bộ; vận chuyển hàng</w:t>
      </w:r>
    </w:p>
    <w:p>
      <w:pPr>
        <w:jc w:val="both"/>
      </w:pPr>
      <w:r>
        <w:t>siêu trường, siêu trọng; giới hạn xếp hàng hoá trên phương tiện giao thông đường bộ</w:t>
      </w:r>
    </w:p>
    <w:p>
      <w:pPr>
        <w:jc w:val="both"/>
      </w:pPr>
      <w:r>
        <w:t>khi tham gia giao thông trên đường bộ"</w:t>
      </w:r>
    </w:p>
    <w:p>
      <w:pPr>
        <w:jc w:val="both"/>
      </w:pPr>
      <w:r>
        <w:t>___________________</w:t>
      </w:r>
    </w:p>
    <w:p>
      <w:pPr>
        <w:jc w:val="both"/>
      </w:pPr>
      <w:r>
        <w:t>Căn cứ Luật Giao thông đường bộ ngày 13 tháng 11 năm 2008;</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trưởng Bộ Giao thông vận tải sửa đổi, bổ sung Thông tư số 07/2010/TT-BGTVT ngày 11/02/2010 của Bộ Giao thông vận tải (gọi tắt là Thông tư 07/2010/TT-BGTVT ) "quy định về tải trọng khổ giới hạn của đường bộ; công bố tải trọng, khổ giới hạn của quốc lộ; lưu hành xe quá tải trọng, xe quá khổ giới hạn, xe bánh xích trên đường bộ; vận chuyển hàng siêu trường, siêu trọng và giới hạn xếp hàng hoá trên phương tiện giao thông đường bộ khi tham gia giao thông trên đường bộ" như sau:</w:t>
      </w:r>
    </w:p>
    <w:p>
      <w:pPr>
        <w:jc w:val="both"/>
      </w:pPr>
      <w:r>
        <w:rPr>
          <w:b/>
        </w:rPr>
        <w:t>Điều 1. Sửa đổi, bổ sung một số điều của Thông tư 07/2010/TT-BGTVT :</w:t>
      </w:r>
    </w:p>
    <w:p>
      <w:pPr>
        <w:jc w:val="both"/>
      </w:pPr>
      <w:r>
        <w:t>1. Điểm b khoản 2 Điều 16 được sửa đổi, bổ sung như sau:</w:t>
      </w:r>
    </w:p>
    <w:p>
      <w:pPr>
        <w:jc w:val="both"/>
      </w:pPr>
      <w:r>
        <w:t>"b) Đối với tổ hợp xe đầu kéo với sơ mi rơ móc: - Có tổng số trục bằng ba, tổng trọng lượng của xe ≤ 26 tấn; - Có tổng số trục bằng bốn, tổng trọng lượng của xe ≤ 34 tấn; - Có tổng số trục bằng năm, tổng trọng lượng của xe ≤ 44 tấn;- Có tổng số trục bằng sáu hoặc lớn hơn, tổng trọng lượng của xe ≤ 48 tấn. "</w:t>
      </w:r>
    </w:p>
    <w:p>
      <w:pPr>
        <w:jc w:val="both"/>
      </w:pPr>
      <w:r>
        <w:t>2. Khoản 3 Điều 17 được sửa đổi, bổ sung như sau:</w:t>
      </w:r>
    </w:p>
    <w:p>
      <w:pPr>
        <w:jc w:val="both"/>
      </w:pPr>
      <w:r>
        <w:t>"3. Xe chuyên dùng và xe chở container: Chiều cao xếp hàng hoá tính từ điểm cao nhất của mặt đường xe chạy trở lên không quá 4,35 mét;"</w:t>
      </w:r>
    </w:p>
    <w:p>
      <w:pPr>
        <w:jc w:val="both"/>
      </w:pPr>
      <w:r>
        <w:t>3. Điểm b khoản 3 Điều 23 được sửa đổi, bổ sung như sau:</w:t>
      </w:r>
    </w:p>
    <w:p>
      <w:pPr>
        <w:jc w:val="both"/>
      </w:pPr>
      <w:r>
        <w:t>"b) Tổng trọng lượng của xe nhỏ hơn trọng lượng xe tối đa được phép lưu hành trên đường bộ, nhưng có tải trọng trục xe vượt quá 1,15 lần tải trọng trách xe tối đa được phép lưu hành trên đường bộ quy định tại khoản 1 Điều 16 của Thông tư 07/2010/TT-BGTVT ."</w:t>
      </w:r>
    </w:p>
    <w:p>
      <w:pPr>
        <w:jc w:val="both"/>
      </w:pPr>
      <w:r>
        <w:rPr>
          <w:b/>
        </w:rPr>
        <w:t>Điều 2. Hiệu lực thi hành và tổ chức thực hiện</w:t>
      </w:r>
    </w:p>
    <w:p>
      <w:pPr>
        <w:jc w:val="both"/>
      </w:pPr>
      <w:r>
        <w:t>1. Thông tư này có hiệu lực thi hành sau 45 ngày kể từ ngày ký ban hành. Bãi bỏ điểm b khoản 2 điều 16, khoản 3 Điều 17 và điểm b khoản 3 điều 23 của Thông tư số 07/2010/TT-BGTVT ngày 11/02/2010 của Bộ trưởng Bộ GTVT về "Quy định về tải trọng, khổ giới hạn của đường bộ; công bố tải trọng, khổ giới hạn của quốc lộ; lưu hành xe quá tải trọng, xe quá khổ giới hạn, xe bánh xích trên đường bộ; vận chuyển hàng siêu trường, siêu trọng và giới hạn xếp hàng hoá trên phương tiện giao thông đường bộ khi tham gia giao thông trên đường bộ".</w:t>
      </w:r>
    </w:p>
    <w:p>
      <w:pPr>
        <w:jc w:val="both"/>
      </w:pPr>
      <w:r>
        <w:t>2. Chánh Văn phòng Bộ, Chánh Thanh tra Bộ, Vụ trưởng các Vụ, Tổng cục trưởng Tổng cục Đường bộ Việt Nam, Giám đốc Sở Giao thông vận tải các tỉnh, Thủ trưởng các cơ quan, tổ chức và cá nhân liên quan chịu trách nhiệm thi hành Thông tư này.</w:t>
      </w:r>
    </w:p>
    <w:p>
      <w:pPr>
        <w:jc w:val="both"/>
      </w:pPr>
      <w:r>
        <w:t>3. Trong quá trình thực hiện, nếu có vướng mắc, đề nghị các cơ quan, tổ chức và cá nhân phản ánh kịp thời về Bộ Giao thông vận tải để nghiên cứu hướng dẫn bổ sung.</w:t>
      </w:r>
    </w:p>
    <w:p>
      <w:pPr>
        <w:jc w:val="both"/>
      </w:pPr>
      <w:r>
        <w:t>BỘ TRƯỞNG</w:t>
      </w:r>
    </w:p>
    <w:p>
      <w:pPr>
        <w:jc w:val="both"/>
      </w:pPr>
      <w:r>
        <w:t>(Đã ký)</w:t>
      </w:r>
    </w:p>
    <w:p>
      <w:pPr>
        <w:jc w:val="both"/>
      </w:pPr>
      <w:r>
        <w:t>Hồ Nghĩa Dũng</w:t>
      </w:r>
    </w:p>
    <w:p>
      <w:r>
        <w:rPr>
          <w:i/>
        </w:rPr>
        <w:t>Nguồn: Cơ sở dữ liệu quốc gia về văn bản pháp luật (Bộ Tư pháp). VietSmart Legal, legal.giangpham.asia/van-ban/26198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