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67/2010/QĐ-TTg</w:t>
      </w:r>
    </w:p>
    <w:p>
      <w:pPr>
        <w:jc w:val="both"/>
      </w:pPr>
      <w:r>
        <w:t>Hà Nội, ngày 29 tháng 10 năm 2010</w:t>
      </w:r>
    </w:p>
    <w:p>
      <w:pPr>
        <w:jc w:val="center"/>
      </w:pPr>
      <w:r>
        <w:rPr>
          <w:b/>
        </w:rPr>
        <w:t>QUYẾT ĐỊNH</w:t>
      </w:r>
    </w:p>
    <w:p>
      <w:pPr>
        <w:jc w:val="both"/>
      </w:pPr>
      <w:r>
        <w:t>Về việc sửa đổi, bổ sung một số điều của Quyết định 167/2008/QĐ-TTg ngày 12 tháng 12 năm 2008</w:t>
      </w:r>
    </w:p>
    <w:p>
      <w:pPr>
        <w:jc w:val="both"/>
      </w:pPr>
      <w:r>
        <w:t>của Thủ tướng Chính phủ về chính sách hỗ trợ hộ nghèo về nhà ở</w:t>
      </w:r>
    </w:p>
    <w:p>
      <w:pPr>
        <w:jc w:val="both"/>
      </w:pPr>
      <w:r>
        <w:t>_____________________________________</w:t>
      </w:r>
    </w:p>
    <w:p>
      <w:pPr>
        <w:jc w:val="both"/>
      </w:pPr>
      <w:r>
        <w:t>THỦ TƯỚNG CHÍNH PHỦ</w:t>
      </w:r>
    </w:p>
    <w:p>
      <w:pPr>
        <w:jc w:val="both"/>
      </w:pPr>
      <w:r>
        <w:t>Căn cứ Luật Tổ chức Chính phủ ngày 25 tháng 12 năm 2001;</w:t>
      </w:r>
    </w:p>
    <w:p>
      <w:pPr>
        <w:jc w:val="both"/>
      </w:pPr>
      <w:r>
        <w:t>Xét đề nghị của Bộ Xây dựng tại tờ trình số 46/TTr-BXD ngày 15 tháng 7 năm 2010,</w:t>
      </w:r>
    </w:p>
    <w:p>
      <w:pPr>
        <w:jc w:val="center"/>
      </w:pPr>
      <w:r>
        <w:rPr>
          <w:b/>
        </w:rPr>
        <w:t>QUYẾT ĐỊNH:</w:t>
      </w:r>
    </w:p>
    <w:p>
      <w:pPr>
        <w:jc w:val="both"/>
      </w:pPr>
      <w:r>
        <w:rPr>
          <w:b/>
        </w:rPr>
        <w:t>Điều 1. Sửa đổi, bổ sung khoản 3 Điều 2 như sau:</w:t>
      </w:r>
    </w:p>
    <w:p>
      <w:pPr>
        <w:jc w:val="both"/>
      </w:pPr>
      <w:r>
        <w:t>"3. Phạm vi áp dụng: Chính sách hỗ trợ hộ nghèo về nhà ở được áp dụng đối với các hộ có đủ 3 điều kiện quy định tại khoản 1 Điều 2 Quyết định 167/2008/QĐ-TTg , đang cư trú tại khu vực không phải là đô thị trên phạm vi cả nước hoặc đang cư trú tại các thôn, làng, buôn, bản, ấp, phum, sóc (gọi chung là thôn, bản) trực thuộc phường, thị trấn hoặc xã trực thuộc thị xã, thành phố thuộc tỉnh nhưng sinh sống chủ yếu bằng nghề nông, lâm, ngư nghiệp".</w:t>
      </w:r>
    </w:p>
    <w:p>
      <w:pPr>
        <w:jc w:val="both"/>
      </w:pPr>
      <w:r>
        <w:rPr>
          <w:b/>
        </w:rPr>
        <w:t>Điều 2. Bổ sung khoản 3 Điều 5 như sau:</w:t>
      </w:r>
    </w:p>
    <w:p>
      <w:pPr>
        <w:jc w:val="both"/>
      </w:pPr>
      <w:r>
        <w:t>"3. Chi phí quản lý: Các địa phương sử dụng ngân sách địa phương để bố trí kinh phí quản lý triển khai thực hiện chính sách hỗ trợ hộ nghèo về nhà ở với mức tối đa không quá 0,5% tổng số kinh phí ngân sách nhà nước hỗ trợ và vốn vay Ngân hàng Chính sách Xã hội để thực hiện chính sách theo quy định.</w:t>
      </w:r>
    </w:p>
    <w:p>
      <w:pPr>
        <w:jc w:val="both"/>
      </w:pPr>
      <w:r>
        <w:t>Bộ Tài chính hướng dẫn cụ thể để các địa phương thực hiện".</w:t>
      </w:r>
    </w:p>
    <w:p>
      <w:pPr>
        <w:jc w:val="both"/>
      </w:pPr>
      <w:r>
        <w:rPr>
          <w:b/>
        </w:rPr>
        <w:t>Điều 3. Quyết định này có hiệu lực thi hành kể từ ngày 25 tháng 12 năm 2010.</w:t>
      </w:r>
    </w:p>
    <w:p>
      <w:pPr>
        <w:jc w:val="both"/>
      </w:pPr>
      <w:r>
        <w:t>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legal.giangpham.asia/van-ban/25772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