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116/2010/TT-BTC</w:t>
      </w:r>
    </w:p>
    <w:p>
      <w:pPr>
        <w:jc w:val="both"/>
      </w:pPr>
      <w:r>
        <w:t>Hà Nội, ngày 04 tháng 8 năm 2010</w:t>
      </w:r>
    </w:p>
    <w:p>
      <w:pPr>
        <w:jc w:val="center"/>
      </w:pPr>
      <w:r>
        <w:rPr>
          <w:b/>
        </w:rPr>
        <w:t>THÔNG TƯ</w:t>
      </w:r>
    </w:p>
    <w:p>
      <w:pPr>
        <w:jc w:val="both"/>
      </w:pPr>
      <w:r>
        <w:t>Sửa đổi, bổ sung Thông tư số 137/2009/TT-BTC ngày 03/7/2009 của Bộ Tài chính hướng dẫn thực hiện một số điều của Quyết định số 33/2009/QĐ-TTg ngày 02/3/2009 của Thủ tướng Chính phủ ban hành cơ chế, chính sách tài chính đối với khu kinh tế cửa khẩu</w:t>
      </w:r>
    </w:p>
    <w:p>
      <w:pPr>
        <w:jc w:val="both"/>
      </w:pPr>
      <w:r>
        <w:t>_____________________________</w:t>
      </w:r>
    </w:p>
    <w:p>
      <w:pPr>
        <w:jc w:val="both"/>
      </w:pPr>
      <w:r>
        <w:t>Căn cứ Nghị định số 29/2008/NĐ-CP ngày 14/3/2008 của Chính phủ quy định về khu công nghiệp, khu chế xuất và khu kinh tế;</w:t>
      </w:r>
    </w:p>
    <w:p>
      <w:pPr>
        <w:jc w:val="both"/>
      </w:pPr>
      <w:r>
        <w:t>Căn cứ Quyết định số 33/2009/QĐ-TTg ngày 02/3/2009 của Thủ tướng Chính phủ ban hành cơ chế, chính sách tài chính đối với khu kinh tế cửa khẩu;</w:t>
      </w:r>
    </w:p>
    <w:p>
      <w:pPr>
        <w:jc w:val="both"/>
      </w:pPr>
      <w:r>
        <w:t>Căn cứ Nghị định số 118/2008/NĐ-CP ngày 27/11/2008 của Chính phủ quy định chức năng, nhiệm vụ, quyền hạn và cơ cấu tổ chức của Bộ Tài chính;</w:t>
      </w:r>
    </w:p>
    <w:p>
      <w:pPr>
        <w:jc w:val="both"/>
      </w:pPr>
      <w:r>
        <w:t>Thực hiện chỉ đạo của Thủ tướng Chính phủ tại công văn số 2956/VPCP-KTTH ngày 7/5/2010 của Văn phòng Chính phủ, Bộ Tài chính hướng dẫn sửa đổi, bổ sung Thông tư số 137/2009/TT-BTC ngày 03/7/2009 của Bộ Tài chính hướng dẫn thực hiện một số điều của Quyết định số 33/2009/QĐ-TTg ngày 02/3/2009 của Thủ tướng Chính phủ ban hành cơ chế, chính sách tài chính đối với khu kinh tế cửa khẩu (sau đây gọi là Thông tư số 137/2009/TT-BTC ) như sau:</w:t>
      </w:r>
    </w:p>
    <w:p>
      <w:pPr>
        <w:jc w:val="both"/>
      </w:pPr>
      <w:r>
        <w:rPr>
          <w:b/>
        </w:rPr>
        <w:t>Điều 1. Sửa đổi, bổ sung Điều 1 Thông tư số 137/2009/TT-BTC như sau:</w:t>
      </w:r>
    </w:p>
    <w:p>
      <w:pPr>
        <w:jc w:val="both"/>
      </w:pPr>
      <w:r>
        <w:t>"Điều 1. Quản lý hải quan, quản lý thuế</w:t>
      </w:r>
    </w:p>
    <w:p>
      <w:pPr>
        <w:jc w:val="both"/>
      </w:pPr>
      <w:r>
        <w:t>1. Hàng hoá từ nội địa Việt Nam hoặc từ các khu chức năng khác trong khu kinh tế cửa khẩu đưa vào khu phi thuế quan thuộc khu kinh tế cửa khẩu không được mở tờ khai hải quan hàng hoá xuất khẩu, bao gồm: bia các loại; nước giải khát, rượu và thức uống có cồn rượu; thuốc lá điếu các loại, xì gà; điện thoại di động, thẻ cào điện thoại di động; ô tô các loại; xe gắn máy các loại; xăng dầu. Cơ sở kinh doanh kê khai, nộp các loại thuế đối với những mặt hàng này như bán hàng trong nội địa Việt Nam.</w:t>
      </w:r>
    </w:p>
    <w:p>
      <w:pPr>
        <w:jc w:val="both"/>
      </w:pPr>
      <w:r>
        <w:t>2. Hàng hóa từ nội địa Việt Nam hoặc các khu chức năng khác trong khu kinh tế cửa khẩu đưa vào khu phi thuế quan thuộc khu kinh tế cửa khẩu thực hiện mở tờ khai hải quan hàng hoá xuất khẩu, được áp dụng thuế suất thuế GTGT 0% nếu đáp ứng các điều kiện theo quy định của pháp luật về thuế GTGT nhưng phải kiểm tra trước khi hoàn thuế giá trị gia tăng, bao gồm: mỳ, miến, cháo, phở ăn liền; bánh kẹo các loại; xà phòng, bột giặt, dầu gội đầu, dầu tắm, kem đánh răng; sữa các loại, bột dinh dưỡng, dầu ăn các loại và gaz sử dụng cho các loại thiết bị lạnh.</w:t>
      </w:r>
    </w:p>
    <w:p>
      <w:pPr>
        <w:jc w:val="both"/>
      </w:pPr>
      <w:r>
        <w:t>3. Hàng hóa ngoài các mặt hàng quy định tại khoản 1 và khoản 2 Điều này từ nội địa Việt Nam hoặc các khu chức năng khác trong khu kinh tế cửa khẩu đưa vào khu phi thuế quan thuộc khu kinh tế cửa khẩu được mở tờ khai hải quan hàng hoá xuất khẩu và áp dụng thủ tục kiểm tra, hoàn các loại thuế theo quy định của pháp luật hải quan và pháp luật về thuế hiện hành.</w:t>
      </w:r>
    </w:p>
    <w:p>
      <w:pPr>
        <w:jc w:val="both"/>
      </w:pPr>
      <w:r>
        <w:t>4. Ủy ban nhân dân các tỉnh có khu kinh tế cửa khẩu và khu phi thuế quan thuộc khu kinh tế cửa khẩu (sau đây gọi là khu kinh tế cửa khẩu) thuộc phạm vi điều chỉnh của Quyết định số 33/2009/QĐ-TTg có trách nhiệm chỉ đạo tổ chức, thực hiện quản lý hải quan, quản lý thu thuế, hoàn thuế giá trị gia tăng đối với các mặt hàng quy định tại khoản 1, khoản 2 và khoản 3 Điều này"</w:t>
      </w:r>
    </w:p>
    <w:p>
      <w:pPr>
        <w:jc w:val="both"/>
      </w:pPr>
      <w:r>
        <w:rPr>
          <w:b/>
        </w:rPr>
        <w:t>Điều 2. Hiệu lực thi hành</w:t>
      </w:r>
    </w:p>
    <w:p>
      <w:pPr>
        <w:jc w:val="both"/>
      </w:pPr>
      <w:r>
        <w:t>1. Thông tư này có hiệu lực thi hành kể từ ngày ký.</w:t>
      </w:r>
    </w:p>
    <w:p>
      <w:pPr>
        <w:jc w:val="both"/>
      </w:pPr>
      <w:r>
        <w:t>2. Bãi bỏ Phụ lục I Danh mục hàng hoá kiểm tra trước khi hoàn thuế giá trị gia tăng áp dụng đối với hàng hoá, dịch vụ từ các khu chức năng khác trong khu kinh tế cửa khẩu và hàng hoá, dịch vụ từ nội địa Việt Nam đưa vào khu phi thuế quan thuộc khu kinh tế cửa khẩu được áp dụng mức thuế suất thuế giá trị gia tăng là 0% ban hành kèm theo Thông tư số 137/2009/TT-BTC.</w:t>
      </w:r>
    </w:p>
    <w:p>
      <w:pPr>
        <w:jc w:val="both"/>
      </w:pPr>
      <w:r>
        <w:t>3. Trong quá trình thực hiện nếu có vướng mắc đề nghị các tổ chức, cá nhân có liên quan kịp thời phản ánh về Bộ Tài chính để nghiên cứu, xử lý./.</w:t>
      </w:r>
    </w:p>
    <w:p>
      <w:pPr>
        <w:jc w:val="both"/>
      </w:pPr>
      <w:r>
        <w:t>KT. BỘ TRƯỞNG</w:t>
      </w:r>
    </w:p>
    <w:p>
      <w:pPr>
        <w:jc w:val="both"/>
      </w:pPr>
      <w:r>
        <w:t>THỨ TRƯỞNG</w:t>
      </w:r>
    </w:p>
    <w:p>
      <w:pPr>
        <w:jc w:val="both"/>
      </w:pPr>
      <w:r>
        <w:t>(Đã ký)</w:t>
      </w:r>
    </w:p>
    <w:p>
      <w:pPr>
        <w:jc w:val="both"/>
      </w:pPr>
      <w:r>
        <w:t>Đỗ Hoàng Anh Tuấn</w:t>
      </w:r>
    </w:p>
    <w:p>
      <w:r>
        <w:rPr>
          <w:i/>
        </w:rPr>
        <w:t>Nguồn: Cơ sở dữ liệu quốc gia về văn bản pháp luật (Bộ Tư pháp). VietSmart Legal, legal.giangpham.asia/van-ban/25642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