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168/2003/QĐ-BTC</w:t>
      </w:r>
    </w:p>
    <w:p>
      <w:pPr>
        <w:jc w:val="both"/>
      </w:pPr>
      <w:r>
        <w:t>Ngày 07 tháng 10 năm 2003</w:t>
      </w:r>
    </w:p>
    <w:p>
      <w:pPr>
        <w:jc w:val="center"/>
      </w:pPr>
      <w:r>
        <w:rPr>
          <w:b/>
        </w:rPr>
        <w:t>QUYẾT ĐỊNH</w:t>
      </w:r>
    </w:p>
    <w:p>
      <w:pPr>
        <w:jc w:val="both"/>
      </w:pPr>
      <w:r>
        <w:t>Ban hành Quy trình Thẩm tra quyết toán vốn đầu tư dự án hoàn thành</w:t>
      </w:r>
    </w:p>
    <w:p>
      <w:pPr>
        <w:jc w:val="both"/>
      </w:pPr>
      <w:r>
        <w:t>BỘ TRƯỞNG BỘ TÀI CHÍNH</w:t>
      </w:r>
    </w:p>
    <w:p>
      <w:pPr>
        <w:jc w:val="both"/>
      </w:pPr>
      <w:r>
        <w:t>Căn cứ Nghị định số 77/2003/NĐ-CP ngày 01/7/2003 của Chính phủ về nhiệm vụ, quyền hạn và cơ cấu tổ chức của Bộ Tài chính;</w:t>
      </w:r>
    </w:p>
    <w:p>
      <w:pPr>
        <w:jc w:val="both"/>
      </w:pPr>
      <w:r>
        <w:t>Căn cứ Nghị định số 52/1999/NĐ-CP ngày 08/7/1999 của Chính phủ ban hành Quy chế Quản lý đầu tư và xây dựng; Nghị định số 12/2000/NĐ-CP ngày 05/5/2000 và Nghị định số 07/2003/NĐ-CP ngày 30/01/2003 của Chính phủ về việc bổ sung, sửa đổi một số điều của Quy chế Quản lý đầu tư và xây dựng;</w:t>
      </w:r>
    </w:p>
    <w:p>
      <w:pPr>
        <w:jc w:val="both"/>
      </w:pPr>
      <w:r>
        <w:t>Căn cứ Thông tư hướng dẫn quyết toán vốn đầu tư số 45/2003/TT-BTC ngày 15/5/2003 của Bộ Tài chính;</w:t>
      </w:r>
    </w:p>
    <w:p>
      <w:pPr>
        <w:jc w:val="both"/>
      </w:pPr>
      <w:r>
        <w:t>Xét đề nghị của Vụ trưởng Vụ Đầu tư,</w:t>
      </w:r>
    </w:p>
    <w:p>
      <w:pPr>
        <w:jc w:val="center"/>
      </w:pPr>
      <w:r>
        <w:rPr>
          <w:b/>
        </w:rPr>
        <w:t>QUYẾT ĐỊNH:</w:t>
      </w:r>
    </w:p>
    <w:p>
      <w:pPr>
        <w:jc w:val="both"/>
      </w:pPr>
      <w:r>
        <w:rPr>
          <w:b/>
        </w:rPr>
        <w:t>Điều 1. Ban hành kèm theo Quyết định này Quy trình thẩm tra quyết toán vốn đầu tư dự án hoàn thành.</w:t>
      </w:r>
    </w:p>
    <w:p>
      <w:pPr>
        <w:jc w:val="both"/>
      </w:pPr>
      <w:r>
        <w:rPr>
          <w:b/>
        </w:rPr>
        <w:t>Điều 2. Quyết định này có hiệu lực sau 15 ngày kể từ ngày đăng Công báo.</w:t>
      </w:r>
    </w:p>
    <w:p>
      <w:pPr>
        <w:jc w:val="both"/>
      </w:pPr>
      <w:r>
        <w:rPr>
          <w:b/>
        </w:rPr>
        <w:t>Điều 3. Các đơn vị được giao nhiệm vụ thẩm tra quyết toán vốn đầu tư dự án hoàn thành trong cả nước tổ chức thực hiện thẩm tra báo cáo quyết toán vốn đầu tư dự án hoàn thành theo trình tự, nội dung hướng dẫn của Quy trình này./.</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legal.giangpham.asia/van-ban/25221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