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trình thẩm tra quyết toán dự án hoàn thành</w:t>
      </w:r>
    </w:p>
    <w:p>
      <w:pPr>
        <w:jc w:val="both"/>
      </w:pPr>
      <w:r>
        <w:t>đối với các dự án sử dụng vốn ngân sách nhà nước</w:t>
      </w:r>
    </w:p>
    <w:p>
      <w:pPr>
        <w:jc w:val="both"/>
      </w:pPr>
      <w:r>
        <w:t>____________</w:t>
      </w:r>
    </w:p>
    <w:p>
      <w:pPr>
        <w:jc w:val="both"/>
      </w:pPr>
      <w:r>
        <w:t>BỘ TRƯỞNG BỘ TÀI CHÍNH</w:t>
      </w:r>
    </w:p>
    <w:p>
      <w:pPr>
        <w:jc w:val="both"/>
      </w:pPr>
      <w:r>
        <w:t>Căn cứ Nghị định số 77/2003/NĐ-CP ngày 01/7/2003 của Chính phủ về nhiệm vụ, quyền hạn và cơ cấu tổ chức của Bộ Tài chính;</w:t>
      </w:r>
    </w:p>
    <w:p>
      <w:pPr>
        <w:jc w:val="both"/>
      </w:pPr>
      <w:r>
        <w:t>Căn cứ Nghị định số 99/2007/NĐ-CP ngày 13/06/2007 của Chính phủ về quản lý chi phí đầu tư xây dựng công trình; Nghị định số 03/2008/NĐ-CP ngày 07/01/2008 của Chính phủ về sửa đổi, bổ sung một số điều của Nghị định số 99/2007/NĐ-CP về quản lý chi phí đầu tư xây dựng công trình;</w:t>
      </w:r>
    </w:p>
    <w:p>
      <w:pPr>
        <w:jc w:val="both"/>
      </w:pPr>
      <w:r>
        <w:t>Căn cứ Thông tư số 33/2007/TT-BTC ngày 09/4/2007 hướng dẫn quyết toán dự án hoàn thành thuộc nguồn vốn Nhà nước; Thông tư số 98/2007/TT-BTC ngày 09/8/2007 sửa đổi, bổ sung một số điểm của Thông tư số 33/2007/TT-BTC ngày 09/4/2007 của Bộ Tài chính hướng dẫn quyết toán dự án hoàn thành thuộc nguồn vốn Nhà nước;</w:t>
      </w:r>
    </w:p>
    <w:p>
      <w:pPr>
        <w:jc w:val="both"/>
      </w:pPr>
      <w:r>
        <w:t>Xét đề nghị của Vụ trưởng Vụ Đầu tư.</w:t>
      </w:r>
    </w:p>
    <w:p>
      <w:pPr>
        <w:jc w:val="center"/>
      </w:pPr>
      <w:r>
        <w:rPr>
          <w:b/>
        </w:rPr>
        <w:t>QUYẾT ĐỊNH:</w:t>
      </w:r>
    </w:p>
    <w:p>
      <w:pPr>
        <w:jc w:val="both"/>
      </w:pPr>
      <w:r>
        <w:rPr>
          <w:b/>
        </w:rPr>
        <w:t>Điều 1. Ban hành kèm theo Quyết định này Quy trình thẩm tra quyết toán dự án hoàn thành đối với các dự án sử dụng vốn ngân sách nhà nước.</w:t>
      </w:r>
    </w:p>
    <w:p>
      <w:pPr>
        <w:jc w:val="both"/>
      </w:pPr>
      <w:r>
        <w:rPr>
          <w:b/>
        </w:rPr>
        <w:t>Điều 2. Quyết định này có hiệu lực thi hành sau 15 ngày kể từ ngày đăng Công báo và thay thế Quyết định số 168/2003/QĐ-BTC ngày 07/10/2003 của Bộ trưởng Bộ Tài chính.</w:t>
      </w:r>
    </w:p>
    <w:p>
      <w:pPr>
        <w:jc w:val="both"/>
      </w:pPr>
      <w:r>
        <w:rPr>
          <w:b/>
        </w:rPr>
        <w:t>Điều 3. Thủ trưởng các đơn vị được giao nhiệm vụ thẩm tra quyết toán dự án hoàn thành đối với các dự án sử dụng vốn Ngân sách nhà nước chịu trách nhiệm thi hành Quyết định này./.</w:t>
      </w:r>
    </w:p>
    <w:p>
      <w:r>
        <w:rPr>
          <w:i/>
        </w:rPr>
        <w:t>Nguồn: Cơ sở dữ liệu quốc gia về văn bản pháp luật (Bộ Tư pháp). VietSmart Legal, legal.giangpham.asia/van-ban/25220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