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sửa đổi, bổ sung Thông tư số 120/2002/TT-BTC ngày 30/12/2002 của Bộ Tài chính hướng dẫn thi hành Nghị định số 89/2002/NĐ-CP ngày 07/11/2002 của Chính phủ về việc in, phát hành, sử dụng, quản lý hoá đơn</w:t>
      </w:r>
    </w:p>
    <w:p>
      <w:pPr>
        <w:jc w:val="both"/>
      </w:pPr>
      <w:r>
        <w:t>Căn cứ Luật ban hành văn bản quy phạm pháp luật số 17/2008/QH12 ngày 03 tháng 06 năm 2008 và các văn bản hướng dẫn thi hành;</w:t>
      </w:r>
    </w:p>
    <w:p>
      <w:pPr>
        <w:jc w:val="both"/>
      </w:pPr>
      <w:r>
        <w:t>Căn cứ Luật thuế giá trị gia tăng số 13/2008/QH12 ngày 03 tháng 06 năm 2008, Luật quản lý thuế số 78/2006/QH11 ngày 29 tháng 11 năm 2006 và các văn bản quy định chi tiết thi hành các Luật này;</w:t>
      </w:r>
    </w:p>
    <w:p>
      <w:pPr>
        <w:jc w:val="both"/>
      </w:pPr>
      <w:r>
        <w:t>Bộ Tài chính hướng dẫn sửa đổi, bổ sung Thông tư số 120/2002/TT-BTC ngày 30/12/2002 của Bộ Tài chính hướng dẫn thi hành Nghị định số 89/2002/NĐ-CP ngày 07/11/2002 của Chính phủ về việc in, phát hành, sử dụng, quản lý hoá đơn như sau:</w:t>
      </w:r>
    </w:p>
    <w:p>
      <w:pPr>
        <w:jc w:val="both"/>
      </w:pPr>
      <w:r>
        <w:rPr>
          <w:b/>
        </w:rPr>
        <w:t>Điều 1. Sửa đổi điểm 5 mục I phần B Thông tư số 120/2002/TT-BTC ngày 30/12/2002 của Bộ Tài chính hướng dẫn thi hành Nghị định 89/2002/NĐ-CP như sau:</w:t>
      </w:r>
    </w:p>
    <w:p>
      <w:pPr>
        <w:jc w:val="both"/>
      </w:pPr>
      <w:r>
        <w:t>“5. Liên hoá đơn:</w:t>
      </w:r>
    </w:p>
    <w:p>
      <w:pPr>
        <w:jc w:val="both"/>
      </w:pPr>
      <w:r>
        <w:t>Mỗi hoá đơn phải có từ 3 liên trở lên, trường hợp sử dụng hoá đơn có 2 liên phải được cơ quan thuế chấp thuận; chức năng sử dụng của từng liên. Liên 1: Lưu, liên 2: Giao khách hàng, liên 3: Nội bộ. Đối với hoá đơn bằng hình thức tem, vé, thẻ thì có thể áp dụng số liên phù hợp nhưng phải được chấp thuận của cơ quan thuế” .</w:t>
      </w:r>
    </w:p>
    <w:p>
      <w:pPr>
        <w:jc w:val="both"/>
      </w:pPr>
      <w:r>
        <w:rPr>
          <w:b/>
        </w:rPr>
        <w:t>Điều 2. Thông tư này có hiệu lực kể từ ngày ký. Trong quá trình thực hiện nếu có vướng mắc đề nghị phản ánh về Bộ Tài chính để nghiên cứu sửa đổi bổ sung cho phù hợp./.</w:t>
      </w:r>
    </w:p>
    <w:p>
      <w:r>
        <w:rPr>
          <w:i/>
        </w:rPr>
        <w:t>Nguồn: Cơ sở dữ liệu quốc gia về văn bản pháp luật (Bộ Tư pháp). VietSmart Legal, legal.giangpham.asia/van-ban/25146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