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KHOA HỌC VÀ CÔNG NGHỆ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24/2007/QĐ-BKHCN</w:t>
      </w:r>
    </w:p>
    <w:p>
      <w:pPr>
        <w:jc w:val="both"/>
      </w:pPr>
      <w:r>
        <w:t>Ngày 28 tháng 9 năm 2007</w:t>
      </w:r>
    </w:p>
    <w:p>
      <w:pPr>
        <w:jc w:val="center"/>
      </w:pPr>
      <w:r>
        <w:rPr>
          <w:b/>
        </w:rPr>
        <w:t>QUYẾT ĐỊNH</w:t>
      </w:r>
    </w:p>
    <w:p>
      <w:pPr>
        <w:jc w:val="both"/>
      </w:pPr>
      <w:r>
        <w:t>Về việc ban hành “Quy định về chứng nhận hợp chuẩn, chứng nhận hợp quy và công bố hợp chuẩn, công bố hợp quy ”</w:t>
      </w:r>
    </w:p>
    <w:p>
      <w:pPr>
        <w:jc w:val="both"/>
      </w:pPr>
      <w:r>
        <w:t>________________________</w:t>
      </w:r>
    </w:p>
    <w:p>
      <w:pPr>
        <w:jc w:val="both"/>
      </w:pPr>
      <w:r>
        <w:t>BỘ TRƯỞNG BỘ KHOA HỌC VÀ CÔNG NGHỆ</w:t>
      </w:r>
    </w:p>
    <w:p>
      <w:pPr>
        <w:jc w:val="both"/>
      </w:pPr>
      <w:r>
        <w:t>Căn cứ Luật Tiêu chuẩn và Quy chuẩn kỹ thuật ngày 29/6/2006;</w:t>
      </w:r>
    </w:p>
    <w:p>
      <w:pPr>
        <w:jc w:val="both"/>
      </w:pPr>
      <w:r>
        <w:t>Căn cứ Nghị định số 54/2003/NĐ-CP ngày 19/5/2003 của Chính phủ quy định chức năng, nhiệm vụ, quyền hạn và cơ cấu tổ chức của Bộ Khoa học và Công nghệ và Nghị định số 28/2004/NĐ-CP ngày 16/01/2004 của Chính phủ sửa đổi, bổ sung một số điều của Nghị định số 54/2003/NĐ-CP ;</w:t>
      </w:r>
    </w:p>
    <w:p>
      <w:pPr>
        <w:jc w:val="both"/>
      </w:pPr>
      <w:r>
        <w:t>Căn cứ Nghị định số 127/2007/NĐ-CP ngày 01 tháng 8 năm 2007 của Chính phủ quy định chi tiết thi hành một số điều của Luật Tiêu chuẩn và Quy chuẩn kỹ thuật.</w:t>
      </w:r>
    </w:p>
    <w:p>
      <w:pPr>
        <w:jc w:val="both"/>
      </w:pPr>
      <w:r>
        <w:t>Xét đề nghị của Tổng cục trưởng Tổng cục Tiêu chuẩn Đo lường Chất lượng,</w:t>
      </w:r>
    </w:p>
    <w:p>
      <w:pPr>
        <w:jc w:val="center"/>
      </w:pPr>
      <w:r>
        <w:rPr>
          <w:b/>
        </w:rPr>
        <w:t>QUYẾT ĐỊNH:</w:t>
      </w:r>
    </w:p>
    <w:p>
      <w:pPr>
        <w:jc w:val="both"/>
      </w:pPr>
      <w:r>
        <w:rPr>
          <w:b/>
        </w:rPr>
        <w:t>Điều 1. Ban hành kèm theo Quyết định này "Quy định về chứng nhận hợp chuẩn, chứng nhận hợp quy và công bố hợp chuẩn, công bố hợp quy".</w:t>
      </w:r>
    </w:p>
    <w:p>
      <w:pPr>
        <w:jc w:val="both"/>
      </w:pPr>
      <w:r>
        <w:rPr>
          <w:b/>
        </w:rPr>
        <w:t>Điều 2. Quyết định này có hiệu lực sau 15 ngày, kể từ ngày đăng công báo.</w:t>
      </w:r>
    </w:p>
    <w:p>
      <w:pPr>
        <w:jc w:val="both"/>
      </w:pPr>
      <w:r>
        <w:rPr>
          <w:b/>
        </w:rPr>
        <w:t>Điều 3. Tổng cục trưởng Tổng cục Tiêu chuẩn Đo lường Chất lượng, các tổ chức, cá nhân liên quan chịu trách nhiệm thi hành Quyết định này./.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Trần Quốc Thắng</w:t>
      </w:r>
    </w:p>
    <w:p>
      <w:r>
        <w:rPr>
          <w:i/>
        </w:rPr>
        <w:t>Nguồn: Cơ sở dữ liệu quốc gia về văn bản pháp luật (Bộ Tư pháp). VietSmart Legal, legal.giangpham.asia/van-ban/24901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