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02/2007/TT-BTM ngày 02 tháng 02 năm 2007 của</w:t>
      </w:r>
    </w:p>
    <w:p>
      <w:pPr>
        <w:jc w:val="both"/>
      </w:pPr>
      <w:r>
        <w:t>Bộ Thương mại về phân loại chi tiết nguyên liệu sản xuất, vật tư, linh kiện</w:t>
      </w:r>
    </w:p>
    <w:p>
      <w:pPr>
        <w:jc w:val="both"/>
      </w:pPr>
      <w:r>
        <w:t>được miễn thuế nhập khẩu theo quy định tại khoản 15 Điều 16 Nghị định</w:t>
      </w:r>
    </w:p>
    <w:p>
      <w:pPr>
        <w:jc w:val="both"/>
      </w:pPr>
      <w:r>
        <w:t>số 149/2005/NĐ-CP ngày 08 tháng 12 năm 2005 của Chính phủ</w:t>
      </w:r>
    </w:p>
    <w:p>
      <w:pPr>
        <w:jc w:val="both"/>
      </w:pPr>
      <w:r>
        <w:t>quy định chi tiết thi hành Luật thuế xuất khẩu, thuế nhập khẩu</w:t>
      </w:r>
    </w:p>
    <w:p>
      <w:pPr>
        <w:jc w:val="both"/>
      </w:pPr>
      <w:r>
        <w:t>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Nghị định số 149/2005/NĐ-CP ngày 08 tháng 12 năm 2005 của Chính phủ quy định chi tiết thi hành Luật thuế xuất khẩu, thuế nhập khẩu;</w:t>
      </w:r>
    </w:p>
    <w:p>
      <w:pPr>
        <w:jc w:val="both"/>
      </w:pPr>
      <w:r>
        <w:t>Căn cứ Nghị định số 108/2006/NĐ-CP ngày 22 tháng 9 năm 2006 của Chính phủ quy định chi tiết và hướng dẫn thi hành một số điều của Luật Đầu tư;</w:t>
      </w:r>
    </w:p>
    <w:p>
      <w:pPr>
        <w:jc w:val="both"/>
      </w:pPr>
      <w:r>
        <w:t>Bộ trưởng Bộ Công Thương sửa đổi, bổ sung một số nội dung của Thông tư số 02/2007/TT-BTM ngày 02 tháng 02 năm 2007 của Bộ Thương mại về phân loại chi tiết nguyên liệu sản xuất, vật tư, linh kiện được miễn thuế nhập khẩu theo quy định tại Khoản 15 Điều 16 Nghị định số 149/2005/NĐ-CP ngày 08 tháng 12 năm 2005 của Chính phủ quy định chi tiết thi hành Luật thuế xuất khẩu, thuế nhập khẩu như sau:</w:t>
      </w:r>
    </w:p>
    <w:p>
      <w:pPr>
        <w:jc w:val="both"/>
      </w:pPr>
      <w:r>
        <w:rPr>
          <w:b/>
        </w:rPr>
        <w:t>Điều 1. Phần sửa đổi, bổ sung</w:t>
      </w:r>
    </w:p>
    <w:p>
      <w:pPr>
        <w:jc w:val="both"/>
      </w:pPr>
      <w:r>
        <w:t>Sửa đổi, bổ sung điểm a, khoản 1, Mục A, Phần II như sau:</w:t>
      </w:r>
    </w:p>
    <w:p>
      <w:pPr>
        <w:jc w:val="both"/>
      </w:pPr>
      <w:r>
        <w:t>“a) Sản xuất vật liệu composit, các loại vật liệu xây dựng nhẹ, vật liệu quý hiếm:</w:t>
      </w:r>
    </w:p>
    <w:p>
      <w:pPr>
        <w:jc w:val="both"/>
      </w:pPr>
      <w:r>
        <w:t>- Nguyên liệu ban đầu chưa định hình để sản xuất vật liệu composit, các loại vật liệu xây dựng nhẹ, vật liệu quý hiếm;</w:t>
      </w:r>
    </w:p>
    <w:p>
      <w:pPr>
        <w:jc w:val="both"/>
      </w:pPr>
      <w:r>
        <w:t>- Sợi thuỷ tinh, các sản phẩm sau sợi và nhựa dạng hạt để sản xuất vật liệu composit;</w:t>
      </w:r>
    </w:p>
    <w:p>
      <w:pPr>
        <w:jc w:val="both"/>
      </w:pPr>
      <w:r>
        <w:t>- Các chất phụ gia.”</w:t>
      </w:r>
    </w:p>
    <w:p>
      <w:pPr>
        <w:jc w:val="both"/>
      </w:pPr>
      <w:r>
        <w:rPr>
          <w:b/>
        </w:rPr>
        <w:t>Điều 2. Hiệu lực thi hành</w:t>
      </w:r>
    </w:p>
    <w:p>
      <w:pPr>
        <w:jc w:val="both"/>
      </w:pPr>
      <w:r>
        <w:t>1. Thông tư này có hiệu lực kể từ ngày 07 tháng 3 năm 2010.</w:t>
      </w:r>
    </w:p>
    <w:p>
      <w:pPr>
        <w:jc w:val="both"/>
      </w:pPr>
      <w:r>
        <w:t>2. Trong quá trình thực hiện, nếu phát sinh vướng mắc, các tổ chức, cá nhân có liên quan phản ánh về Bộ Công Thương để kịp thời xử lý./.</w:t>
      </w:r>
    </w:p>
    <w:p>
      <w:r>
        <w:rPr>
          <w:i/>
        </w:rPr>
        <w:t>Nguồn: Cơ sở dữ liệu quốc gia về văn bản pháp luật (Bộ Tư pháp). VietSmart Legal, legal.giangpham.asia/van-ban/24894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