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04/2008/QĐ-TTg</w:t>
      </w:r>
    </w:p>
    <w:p>
      <w:pPr>
        <w:jc w:val="both"/>
      </w:pPr>
      <w:r>
        <w:t>Hà Nội, ngày 09 tháng 01 năm 2008</w:t>
      </w:r>
    </w:p>
    <w:p>
      <w:pPr>
        <w:jc w:val="center"/>
      </w:pPr>
      <w:r>
        <w:rPr>
          <w:b/>
        </w:rPr>
        <w:t>QUYẾT ĐỊNH</w:t>
      </w:r>
    </w:p>
    <w:p>
      <w:pPr>
        <w:jc w:val="both"/>
      </w:pPr>
      <w:r>
        <w:t>Phê duyệt Điều lệ tổ chức và hoạt động của Tổng công ty Cà phê Việt Nam</w:t>
      </w:r>
    </w:p>
    <w:p>
      <w:pPr>
        <w:jc w:val="both"/>
      </w:pPr>
      <w:r>
        <w:t>____________________________________</w:t>
      </w:r>
    </w:p>
    <w:p>
      <w:pPr>
        <w:jc w:val="both"/>
      </w:pPr>
      <w:r>
        <w:t>THỦ TƯỚNG 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29 tháng 11 năm 2005;</w:t>
      </w:r>
    </w:p>
    <w:p>
      <w:pPr>
        <w:jc w:val="both"/>
      </w:pPr>
      <w:r>
        <w:t>Căn cứ Nghị định số 111/2007/NĐ-CP ngày 26 tháng 6 năm 2007 của Chính phủ về tổ chức, quản lý tổng công ty nhà nước và chuyển đổi tổng công ty nhà nước, công ty nhà nước độc lập, công ty mẹ là công ty nhà nước theo hình thức công ty mẹ - công ty con hoạt động theo Luật Doanh nghiệp;</w:t>
      </w:r>
    </w:p>
    <w:p>
      <w:pPr>
        <w:jc w:val="both"/>
      </w:pPr>
      <w:r>
        <w:t>Căn cứ Nghị định số 132/2005/NĐ-CP ngày 20 tháng 10 năm 2005 của Chính phủ về thực hiện các quyền và nghĩa vụ của chủ sở hữu nhà nước đối với công ty nhà nước và Nghị định số 86/2006/NĐ-CP ngày 21 tháng 8 năm 2006 của Chính phủ về sửa đổi, bổ sung một số điều của Nghị định số 132/2005/NĐ-CP.</w:t>
      </w:r>
    </w:p>
    <w:p>
      <w:pPr>
        <w:jc w:val="both"/>
      </w:pPr>
      <w:r>
        <w:t>Xét đề nghị của Tổng công ty Cà phê Việt Nam,</w:t>
      </w:r>
    </w:p>
    <w:p>
      <w:pPr>
        <w:jc w:val="center"/>
      </w:pPr>
      <w:r>
        <w:rPr>
          <w:b/>
        </w:rPr>
        <w:t>QUYẾT ĐỊNH:</w:t>
      </w:r>
    </w:p>
    <w:p>
      <w:pPr>
        <w:jc w:val="both"/>
      </w:pPr>
      <w:r>
        <w:rPr>
          <w:b/>
        </w:rPr>
        <w:t>Điều 1. Phê duyệt kèm theo Quyết định này Điều lệ tổ chức và hoạt động của Tổng công ty Cà phê Việt Nam.</w:t>
      </w:r>
    </w:p>
    <w:p>
      <w:pPr>
        <w:jc w:val="both"/>
      </w:pPr>
      <w:r>
        <w:rPr>
          <w:b/>
        </w:rPr>
        <w:t>Điều 2. Quyết định này có hiệu lực thi hành sau 15 ngày, kể từ ngày đăng Công báo.</w:t>
      </w:r>
    </w:p>
    <w:p>
      <w:pPr>
        <w:jc w:val="both"/>
      </w:pPr>
      <w:r>
        <w:rPr>
          <w:b/>
        </w:rPr>
        <w:t>Điều 3. Các Bộ trưởng, Thủ trưởng cơ quan ngang Bộ, Thủ trưởng cơ quan thuộc Chính phủ, Chủ tịch Ủy ban nhân dân các tỉnh, thành phố trực thuộc Trung ương, Hội đồng quản trị Tổng Công ty Cà phê Việt Nam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legal.giangpham.asia/van-ban/24503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