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34/2008/QĐ-BTC</w:t>
      </w:r>
    </w:p>
    <w:p>
      <w:pPr>
        <w:jc w:val="both"/>
      </w:pPr>
      <w:r>
        <w:t>Hà Nội, ngày 6 tháng 6 năm 2008</w:t>
      </w:r>
    </w:p>
    <w:p>
      <w:pPr>
        <w:jc w:val="center"/>
      </w:pPr>
      <w:r>
        <w:rPr>
          <w:b/>
        </w:rPr>
        <w:t>QUYẾT ĐỊNH</w:t>
      </w:r>
    </w:p>
    <w:p>
      <w:pPr>
        <w:jc w:val="both"/>
      </w:pPr>
      <w:r>
        <w:t>Về việc quy định mức thu, chế độ thu, nộp, quản lý và sử dụng phí kiểm định an toàn giao thông và chất lượng thiết bị, vật tư, phương tiện giao thông đường sắt</w:t>
      </w:r>
    </w:p>
    <w:p>
      <w:pPr>
        <w:jc w:val="both"/>
      </w:pPr>
      <w:r>
        <w:t>__________________________________</w:t>
      </w:r>
    </w:p>
    <w:p>
      <w:pPr>
        <w:jc w:val="both"/>
      </w:pPr>
      <w:r>
        <w:t>BỘ TRƯỞNG BỘ TÀI CHÍNH</w:t>
      </w:r>
    </w:p>
    <w:p>
      <w:pPr>
        <w:jc w:val="both"/>
      </w:pPr>
      <w:r>
        <w:t>Căn cứ Nghị định số 57/2002/NĐ-CP ngày 03/6/2002 của Chính phủ quy định chi tiết thi hành Pháp lệnh Phí và lệ phí;</w:t>
      </w:r>
    </w:p>
    <w:p>
      <w:pPr>
        <w:jc w:val="both"/>
      </w:pPr>
      <w:r>
        <w:t>Căn cứ Nghị định số 24/2006/NĐ-CP ngày 06/3/2006 của Chính phủ sửa đổi, bổ sung một số điều của Nghị định số 57/2002/NĐ-CP ngày 03/6/2002 của Chính phủ quy định chi tiết thi hành Pháp lệnh Phí và lệ phí;</w:t>
      </w:r>
    </w:p>
    <w:p>
      <w:pPr>
        <w:jc w:val="both"/>
      </w:pPr>
      <w:r>
        <w:t>Căn cứ Nghị định số 77/2003/NĐ-CP ngày 01/7/2003 của Chính phủ quy định chức năng, nhiệm vụ, quyền hạn và cơ cấu tổ chức của Bộ Tài chính;</w:t>
      </w:r>
    </w:p>
    <w:p>
      <w:pPr>
        <w:jc w:val="both"/>
      </w:pPr>
      <w:r>
        <w:t>Sau khi có ý kiến của Bộ Giao thông vận tải tại Công văn số 1102/BGTVT-TC ngày 05/3/2007 và theo đề nghị của Vụ trưởng Vụ Chính sách Thuế.</w:t>
      </w:r>
    </w:p>
    <w:p>
      <w:pPr>
        <w:jc w:val="center"/>
      </w:pPr>
      <w:r>
        <w:rPr>
          <w:b/>
        </w:rPr>
        <w:t>QUYẾT ĐỊNH:</w:t>
      </w:r>
    </w:p>
    <w:p>
      <w:pPr>
        <w:jc w:val="both"/>
      </w:pPr>
      <w:r>
        <w:rPr>
          <w:b/>
        </w:rPr>
        <w:t>Điều 1. Ban hành kèm theo Quyết định này Biểu mức thu phí kiểm định an toàn giao thông và chất lượng thiết bị, vật tư, phương tiện giao thông đường sắt.</w:t>
      </w:r>
    </w:p>
    <w:p>
      <w:pPr>
        <w:jc w:val="both"/>
      </w:pPr>
      <w:r>
        <w:rPr>
          <w:b/>
        </w:rPr>
        <w:t>Điều 2. Tổ chức, cá nhân được cơ quan Đăng kiểm Việt Nam thực hiện kiểm định an toàn giao thông và chất lượng thiết bị, vật tư, phương tiện giao thông đường sắt phải nộp phí theo mức thu tương ứng tại Biểu mức thu phí kiểm định an toàn giao thông và chất lượng thiết bị, vật tư, phương tiện giao thông đường sắt quy định tại Điều 1 Quyết định này.</w:t>
      </w:r>
    </w:p>
    <w:p>
      <w:pPr>
        <w:jc w:val="both"/>
      </w:pPr>
      <w:r>
        <w:rPr>
          <w:b/>
        </w:rPr>
        <w:t>Điều 3. Việc quản lý, sử dụng tiền phí kiểm định an toàn giao thông và chất lượng thiết bị, vật tư, phương tiện giao thông đường sắt được thực hiện theo quy định của pháp luật về phí, lệ phí và hướng dẫn cụ thể của Bộ Tài chính.</w:t>
      </w:r>
    </w:p>
    <w:p>
      <w:pPr>
        <w:jc w:val="both"/>
      </w:pPr>
      <w:r>
        <w:rPr>
          <w:b/>
        </w:rPr>
        <w:t>Điều 4. Các nội dung khác liên quan đến việc thu, nộp, quản lý, sử dụng, chứng từ thu, công khai chế độ thu phí không đề cập tại Quyết định này được thực hiện theo hướng dẫn tại Thông tư số 63/2002/TT-BTC ngày 24/7/2002 và Thông tư số 45/2006/TT-BTC ngày 25/5/2006 sửa đổi, bổ sung Thông tư số 63/2002/TT-BTC ngày 24/7/2002 của Bộ Tài chính hướng dẫn thực hiện các quy định pháp luật về phí, lệ phí.</w:t>
      </w:r>
    </w:p>
    <w:p>
      <w:pPr>
        <w:jc w:val="both"/>
      </w:pPr>
      <w:r>
        <w:rPr>
          <w:b/>
        </w:rPr>
        <w:t>Điều 5. Quyết định này có hiệu lực thi hành sau 15 ngày, kể từ ngày đăng Công báo.</w:t>
      </w:r>
    </w:p>
    <w:p>
      <w:pPr>
        <w:jc w:val="both"/>
      </w:pPr>
      <w:r>
        <w:rPr>
          <w:b/>
        </w:rPr>
        <w:t>Điều 6. Tổ chức, cá nhân thuộc đối tượng nộp phí, cơ quan Đăng kiểm Việt Nam và các cơ quan liên quan chịu trách nhiệm thi hành Quyết định này./.</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legal.giangpham.asia/van-ban/24185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