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Quy chế Quản lý giao dịch trái phiếu Chính phủ</w:t>
      </w:r>
    </w:p>
    <w:p>
      <w:pPr>
        <w:jc w:val="both"/>
      </w:pPr>
      <w:r>
        <w:t>tại Trung tâm Giao dịch Chứng khoán Hà Nội</w:t>
      </w:r>
    </w:p>
    <w:p>
      <w:pPr>
        <w:jc w:val="both"/>
      </w:pPr>
      <w:r>
        <w:t>________________________</w:t>
      </w:r>
    </w:p>
    <w:p>
      <w:pPr>
        <w:jc w:val="both"/>
      </w:pPr>
      <w:r>
        <w:t>BỘ TRƯỞNG BỘ TÀI CHÍNH</w:t>
      </w:r>
    </w:p>
    <w:p>
      <w:pPr>
        <w:jc w:val="both"/>
      </w:pPr>
      <w:r>
        <w:t>Căn cứ Luật Chứng khoán số 70/2006/QH11 được Quốc hội thông qua ngày 29/06/2006;</w:t>
      </w:r>
    </w:p>
    <w:p>
      <w:pPr>
        <w:jc w:val="both"/>
      </w:pPr>
      <w:r>
        <w:t>Căn cứ Nghị định số 77/2003/NĐ-CP ngày 01/07/2003 của Chính phủ quy định chức năng, nhiệm vụ, quyền hạn và cơ cấu tổ chức của Bộ Tài chính;</w:t>
      </w:r>
    </w:p>
    <w:p>
      <w:pPr>
        <w:jc w:val="both"/>
      </w:pPr>
      <w:r>
        <w:t>Theo đề nghị của Chủ tịch Ủy ban Chứng khoán Nhà nước.</w:t>
      </w:r>
    </w:p>
    <w:p>
      <w:pPr>
        <w:jc w:val="center"/>
      </w:pPr>
      <w:r>
        <w:rPr>
          <w:b/>
        </w:rPr>
        <w:t>QUYẾT ĐỊNH:</w:t>
      </w:r>
    </w:p>
    <w:p>
      <w:pPr>
        <w:jc w:val="both"/>
      </w:pPr>
      <w:r>
        <w:rPr>
          <w:b/>
        </w:rPr>
        <w:t>Điều 1. Ban hành kèm theo Quyết định này Quy chế Quản lý giao dịch trái phiếu Chính phủ tại Trung tâm Giao dịch Chứng khoán Hà Nội.</w:t>
      </w:r>
    </w:p>
    <w:p>
      <w:pPr>
        <w:jc w:val="both"/>
      </w:pPr>
      <w:r>
        <w:rPr>
          <w:b/>
        </w:rPr>
        <w:t>Điều 2. Quyết định này có hiệu lực sau 15 ngày, kể từ ngày đăng Công báo.</w:t>
      </w:r>
    </w:p>
    <w:p>
      <w:pPr>
        <w:jc w:val="both"/>
      </w:pPr>
      <w:r>
        <w:rPr>
          <w:b/>
        </w:rPr>
        <w:t>Điều 3 . Chủ tịch Ủy ban Chứng khoán Nhà nước, Chánh văn phòng Bộ, Thủ trưởng các đơn vị liên quan thuộc Bộ Tài chính, Giám đốc Trung tâm Giao dịch Chứng khoán Hà Nội và các tổ chức, cá nhân liên quan chịu trách nhiệm thi hành Quyết định này./.</w:t>
      </w:r>
    </w:p>
    <w:p>
      <w:r>
        <w:rPr>
          <w:i/>
        </w:rPr>
        <w:t>Nguồn: Cơ sở dữ liệu quốc gia về văn bản pháp luật (Bộ Tư pháp). VietSmart Legal, legal.giangpham.asia/van-ban/24123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