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51/2008/QĐ-BTC</w:t>
      </w:r>
    </w:p>
    <w:p>
      <w:pPr>
        <w:jc w:val="both"/>
      </w:pPr>
      <w:r>
        <w:t>Hà Nội, ngày 14 tháng 07 năm 2008</w:t>
      </w:r>
    </w:p>
    <w:p>
      <w:pPr>
        <w:jc w:val="center"/>
      </w:pPr>
      <w:r>
        <w:rPr>
          <w:b/>
        </w:rPr>
        <w:t>QUYẾT ĐỊNH</w:t>
      </w:r>
    </w:p>
    <w:p>
      <w:pPr>
        <w:jc w:val="both"/>
      </w:pPr>
      <w:r>
        <w:t>Về việc sửa đổi, bổ sung Quyết định số 90/2007/QĐ-BTC ngày 26/10/2007 của Bộ</w:t>
      </w:r>
    </w:p>
    <w:p>
      <w:pPr>
        <w:jc w:val="both"/>
      </w:pPr>
      <w:r>
        <w:t>trưởng Bộ Tài chính</w:t>
      </w:r>
    </w:p>
    <w:p>
      <w:pPr>
        <w:jc w:val="both"/>
      </w:pPr>
      <w:r>
        <w:t>quy định về mã số các đơn vị có quan hệ với ngân sách</w:t>
      </w:r>
    </w:p>
    <w:p>
      <w:pPr>
        <w:jc w:val="both"/>
      </w:pPr>
      <w:r>
        <w:t>____________________________</w:t>
      </w:r>
    </w:p>
    <w:p>
      <w:pPr>
        <w:jc w:val="both"/>
      </w:pPr>
      <w:r>
        <w:t>BỘ TRƯỞNG BỘ TÀI CHÍNH</w:t>
      </w:r>
    </w:p>
    <w:p>
      <w:pPr>
        <w:jc w:val="both"/>
      </w:pPr>
      <w:r>
        <w:t>Căn cứ Luật Ngân sách nhà nước ngày 16/12/2002 và Nghị định số 60/2003/NĐ-CP ngày 6/6/2003 của Chính phủ quy định chi tiết và hướng dẫn thi hành Luật Ngân sách Nhà nước;</w:t>
      </w:r>
    </w:p>
    <w:p>
      <w:pPr>
        <w:jc w:val="both"/>
      </w:pPr>
      <w:r>
        <w:t>Căn cứ Luật Kế toán ngày 17/06/2003;</w:t>
      </w:r>
    </w:p>
    <w:p>
      <w:pPr>
        <w:jc w:val="both"/>
      </w:pPr>
      <w:r>
        <w:t>Căn cứ Luật Xây dựng ngày 26/11/2003, Nghị định số 16/2005/NĐ-CP ngày 7/2/2005 của Chính phủ về Quản lý dự án đầu tư xây dựng công trình và Nghị định số 112/2006/NĐ-CP ngày 29/9/2006 của Chính phủ về sửa đổi, bổ sung một số điều của Nghị định số 16/2005/NĐ-CP ngày 7/2/2005;</w:t>
      </w:r>
    </w:p>
    <w:p>
      <w:pPr>
        <w:jc w:val="both"/>
      </w:pPr>
      <w:r>
        <w:t>Căn cứ Nghị định số 52/1999/NĐ-CP ngày 8/7/1999 của Chính phủ về việc ban hành Quy chế Quản lý đầu tư và xây dựng, Nghị định số 12/2000/NĐ-CP ngày 05/5/2000 và số 07/2003/NĐ-CP ngày 30/01/2003 của Chính phủ về việc sửa đổi, bổ sung một số điều của Quy chế Quản lý đầu tư và xây dựng ban hành kèm theo Nghị định số 52/1999/NĐ-CP ngày 8/7/1999 của Chính phủ;</w:t>
      </w:r>
    </w:p>
    <w:p>
      <w:pPr>
        <w:jc w:val="both"/>
      </w:pPr>
      <w:r>
        <w:t>Căn cứ Nghị định số 71/2005/NĐ-CP ngày 06/6/2005 của Chính phủ về quản lý đầu tư xây dựng công trình đặc thù;</w:t>
      </w:r>
    </w:p>
    <w:p>
      <w:pPr>
        <w:jc w:val="both"/>
      </w:pPr>
      <w:r>
        <w:t>Căn cứ Nghị định số 99/2007/NĐ-CP ngày 13/6/2007 của Chính phủ về quản lý chi phí đầu tư xây dựng công trình;</w:t>
      </w:r>
    </w:p>
    <w:p>
      <w:pPr>
        <w:jc w:val="both"/>
      </w:pPr>
      <w:r>
        <w:t>Căn cứ Nghị định số 178/2007/NĐ-CP ngày 03/12/2007 của Chính phủ quy định chức năng, nhiệm vụ, quyền hạn và cơ cấu tổ chức của Bộ, cơ quan ngang Bộ;</w:t>
      </w:r>
    </w:p>
    <w:p>
      <w:pPr>
        <w:jc w:val="both"/>
      </w:pPr>
      <w:r>
        <w:t>Căn cứ Nghị định số 77/2003/NĐ-CP ngày 01/07/2003 của Chính phủ quy định chức năng, nhiệm vụ, quyền hạn và cơ cấu tổ chức của Bộ Tài chính;</w:t>
      </w:r>
    </w:p>
    <w:p>
      <w:pPr>
        <w:jc w:val="both"/>
      </w:pPr>
      <w:r>
        <w:t>Theo đề nghị của Cục trưởng Cục Tin học và Thống kê tài chính.</w:t>
      </w:r>
    </w:p>
    <w:p>
      <w:pPr>
        <w:jc w:val="center"/>
      </w:pPr>
      <w:r>
        <w:rPr>
          <w:b/>
        </w:rPr>
        <w:t>QUYẾT ĐỊNH:</w:t>
      </w:r>
    </w:p>
    <w:p>
      <w:pPr>
        <w:jc w:val="both"/>
      </w:pPr>
      <w:r>
        <w:rPr>
          <w:b/>
        </w:rPr>
        <w:t>Điều 1. Sửa đổi, bổ sung một số Điều tại Quy định về mã số đơn vị có quan hệ với ngân sách ban hành kèm theo Quyết định số 90/2007/QĐ-BTC ngày 26/10/2007 của Bộ trưởng Bộ Tài chính, như sau:</w:t>
      </w:r>
    </w:p>
    <w:p>
      <w:pPr>
        <w:jc w:val="both"/>
      </w:pPr>
      <w:r>
        <w:t>1. Sửa đổi nội dung quy định về dự án đầu tư xây dựng cơ bản tại Điều 1, như sau:</w:t>
      </w:r>
    </w:p>
    <w:p>
      <w:pPr>
        <w:jc w:val="both"/>
      </w:pPr>
      <w:r>
        <w:t>"Dự án đầu tư xây dựng cơ bản được hiểu như sau:</w:t>
      </w:r>
    </w:p>
    <w:p>
      <w:pPr>
        <w:jc w:val="both"/>
      </w:pPr>
      <w:r>
        <w:t>- Dự án đầu tư xây dựng cơ bản là các dự án nằm trong kế hoạch vốn đầu tư thuộc nguồn vốn ngân sách Nhà nước, nguồn vốn ODA được giao hàng năm. Kế hoạch vốn đầu tư bao gồm vốn chuẩn bị đầu tư, vốn thực hiện đầu tư".</w:t>
      </w:r>
    </w:p>
    <w:p>
      <w:pPr>
        <w:jc w:val="both"/>
      </w:pPr>
      <w:r>
        <w:t>2. Sửa đổi, bổ sung Điều 9, như sau:</w:t>
      </w:r>
    </w:p>
    <w:p>
      <w:pPr>
        <w:jc w:val="both"/>
      </w:pPr>
      <w:r>
        <w:t>2. 1. Huỷ bỏ mẫu số 02-MSNS-BTC "Mẫu tờ khai đăng ký mã số đơn vị có quan hệ với ngân sách dùng cho các dự án quy hoạch".</w:t>
      </w:r>
    </w:p>
    <w:p>
      <w:pPr>
        <w:jc w:val="both"/>
      </w:pPr>
      <w:r>
        <w:t>2. 2. Sửa đổi mẫu số 01-MSNS-BTC, mẫu số 03-MSNS-BTC, mẫu số 04-MSNS-BTC, mẫu số 05-MSNS-BTC thành các mẫu số 01-MSNS-BTC, mẫu số 03-MSNS-BTC, mẫu số 04-MSNS-BTC, mẫu số 05-MSNS-BTC theo Phụ lục 01 kèm theo Quyết định này.</w:t>
      </w:r>
    </w:p>
    <w:p>
      <w:pPr>
        <w:jc w:val="both"/>
      </w:pPr>
      <w:r>
        <w:t>3. Huỷ bỏ nội dung Hồ sơ đăng ký, kê khai mã số đơn vị có quan hệ với ngân sách của các dự án quy hoạch quy định tại khoản 3, Điều 13.</w:t>
      </w:r>
    </w:p>
    <w:p>
      <w:pPr>
        <w:jc w:val="both"/>
      </w:pPr>
      <w:r>
        <w:t>4. Sửa đổi Điều 15, như sau:</w:t>
      </w:r>
    </w:p>
    <w:p>
      <w:pPr>
        <w:jc w:val="both"/>
      </w:pPr>
      <w:r>
        <w:t>"Các dự án đầu tư xây dựng cơ bản chuyển giai đoạn (từ giai đoạn "chuẩn bị đầu tư" sang giai đoạn "thực hiện đầu tư") sau khi có quyết định thực hiện các giai đoạn tiếp theo của dự án, Chủ đầu tư của các dự án lập hồ sơ kê khai bổ sung thông tin đăng ký mã số đơn vị có quan hệ với ngân sách gửi về cơ quan tài chính nơi đăng ký mã số.</w:t>
      </w:r>
    </w:p>
    <w:p>
      <w:pPr>
        <w:jc w:val="both"/>
      </w:pPr>
      <w:r>
        <w:t>Hồ sơ kê khai bổ sung thông tin chuyển giai đoạn dự án đầu tư xây dựng cơ bản (từ giai đoạn chuẩn bị đầu tư sang giai đoạn thực hiện đầu tư) gồm:</w:t>
      </w:r>
    </w:p>
    <w:p>
      <w:pPr>
        <w:jc w:val="both"/>
      </w:pPr>
      <w:r>
        <w:t>- Tờ khai bổ sung thông tin dự án theo mẫu số 05-MSNS-BTC tại Phụ lục 01 kèm theo Quyết định này.</w:t>
      </w:r>
    </w:p>
    <w:p>
      <w:pPr>
        <w:jc w:val="both"/>
      </w:pPr>
      <w:r>
        <w:t>- Quyết định đầu tư của cấp có thẩm quyền (Bản sao có đóng dấu sao y bản chính của cơ quan có thẩm quyền)".</w:t>
      </w:r>
    </w:p>
    <w:p>
      <w:pPr>
        <w:jc w:val="both"/>
      </w:pPr>
      <w:r>
        <w:rPr>
          <w:b/>
        </w:rPr>
        <w:t>Điều 2. Quyết định này có hiệu lực thi hành sau 15 ngày kể từ ngày đăng Công báo và áp dụng cho các Tờ khai đăng ký mã số đơn vị có quan hệ với ngân sách kể từ ngày quyết định có hiệu lực.</w:t>
      </w:r>
    </w:p>
    <w:p>
      <w:pPr>
        <w:jc w:val="both"/>
      </w:pPr>
      <w:r>
        <w:rPr>
          <w:b/>
        </w:rPr>
        <w:t>Điều 3. Chánh Văn phòng Bộ, Cục trưởng Cục Tin học và Thống kê tài chính, Tổng giám đốc Kho bạc Nhà nước, Vụ trưởng Vụ Ngân sách nhà nước, Vụ trưởng Vụ Đầu tư, Vụ trưởng Vụ Chế độ Kế toán và Kiểm toán, Thủ trưởng các đơn vị thuộc Bộ Tài chính và Thủ trưởng các cơ quan có liên quan chịu trách nhiệm thi hành Quyết định này./.</w:t>
      </w:r>
    </w:p>
    <w:p>
      <w:pPr>
        <w:jc w:val="both"/>
      </w:pPr>
      <w:r>
        <w:t>KT. BỘ TRƯỞNG</w:t>
      </w:r>
    </w:p>
    <w:p>
      <w:pPr>
        <w:jc w:val="both"/>
      </w:pPr>
      <w:r>
        <w:t>THỨ TRƯỞNG</w:t>
      </w:r>
    </w:p>
    <w:p>
      <w:pPr>
        <w:jc w:val="both"/>
      </w:pPr>
      <w:r>
        <w:t>(Đã ký)</w:t>
      </w:r>
    </w:p>
    <w:p>
      <w:pPr>
        <w:jc w:val="both"/>
      </w:pPr>
      <w:r>
        <w:t>Phạm Sỹ Danh</w:t>
      </w:r>
    </w:p>
    <w:p>
      <w:r>
        <w:rPr>
          <w:i/>
        </w:rPr>
        <w:t>Nguồn: Cơ sở dữ liệu quốc gia về văn bản pháp luật (Bộ Tư pháp). VietSmart Legal, legal.giangpham.asia/van-ban/24095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