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Số: 90/2007/QĐ-BTC</w:t>
      </w:r>
    </w:p>
    <w:p>
      <w:pPr>
        <w:jc w:val="both"/>
      </w:pPr>
      <w:r>
        <w:t>CỘNG HOÀ XÃ HỘI CHỦ NGHĨA VIỆT NAM</w:t>
      </w:r>
    </w:p>
    <w:p>
      <w:pPr>
        <w:jc w:val="both"/>
      </w:pPr>
      <w:r>
        <w:t>Độc lập - Tự do - Hạnh phúc</w:t>
      </w:r>
    </w:p>
    <w:p>
      <w:pPr>
        <w:jc w:val="both"/>
      </w:pPr>
      <w:r>
        <w:t>------------------------------------</w:t>
      </w:r>
    </w:p>
    <w:p>
      <w:pPr>
        <w:jc w:val="both"/>
      </w:pPr>
      <w:r>
        <w:t>Hà nội, ngày 26 tháng 10 năm 2007</w:t>
      </w:r>
    </w:p>
    <w:p>
      <w:pPr>
        <w:jc w:val="center"/>
      </w:pPr>
      <w:r>
        <w:rPr>
          <w:b/>
        </w:rPr>
        <w:t>QUYẾT ĐỊNH</w:t>
      </w:r>
    </w:p>
    <w:p>
      <w:pPr>
        <w:jc w:val="both"/>
      </w:pPr>
      <w:r>
        <w:t>Về việc ban hành Quy định về mã số các đơn vị có quan hệ với ngân sách</w:t>
      </w:r>
    </w:p>
    <w:p>
      <w:pPr>
        <w:jc w:val="both"/>
      </w:pPr>
      <w:r>
        <w:t>-----------------------</w:t>
      </w:r>
    </w:p>
    <w:p>
      <w:pPr>
        <w:jc w:val="both"/>
      </w:pPr>
      <w:r>
        <w:t>BỘ TRƯỞNG BỘ TÀI CHÍNH</w:t>
      </w:r>
    </w:p>
    <w:p>
      <w:pPr>
        <w:jc w:val="both"/>
      </w:pPr>
      <w:r>
        <w:t>Căn cứ Luật Ngân sách nhà nước ngày 16/12/2002 và Nghị định số 60/2003/NĐ-CP ngày 6/6/2003 của Chính phủ quy định chi tiết và hướng dẫn thi hành Luật Ngân sách Nhà nước;</w:t>
      </w:r>
    </w:p>
    <w:p>
      <w:pPr>
        <w:jc w:val="both"/>
      </w:pPr>
      <w:r>
        <w:t>Căn cứ Luật Kế toán ngày 17/06/2003;</w:t>
      </w:r>
    </w:p>
    <w:p>
      <w:pPr>
        <w:jc w:val="both"/>
      </w:pPr>
      <w:r>
        <w:t>Căn cứ Luật Xây dựng ngày 26/11/2003, Nghị định số 16/2005/NĐ-CP ngày 7/2/2005 của Chính phủ về Quản lý dự án đầu tư xây dựng công trình và Nghị định số 112/2006/NĐ-CP ngày 29/9/2006 của Chính phủ về sửa đổi, bổ sung một số điều của Nghị định số 16/2005/NĐ-CP ngày 7/2/2005;</w:t>
      </w:r>
    </w:p>
    <w:p>
      <w:pPr>
        <w:jc w:val="both"/>
      </w:pPr>
      <w:r>
        <w:t>Căn cứ Nghị định số 52/1999/NĐ-CP ngày 8/7/1999 của Chính phủ về việc ban hành Quy chế Quản lý đầu tư và xây dựng, Nghị định số 12/2000/NĐ-CP ngày 05/5/2000 và số 07/2003/NĐ-CP ngày 30/01/2003 của Chính phủ về việc sửa đổi, bổ sung một số điều của Quy chế Quản lý đầu tư và xây dựng ban hành kèm theo Nghị định số 52/1999/NĐ-CP ngày 8/7/1999 của Chính phủ;</w:t>
      </w:r>
    </w:p>
    <w:p>
      <w:pPr>
        <w:jc w:val="both"/>
      </w:pPr>
      <w:r>
        <w:t>Căn cứ Nghị định số 71/2005/NĐ-CP ngày 06/6/2005 của Chính phủ về Quản lý đầu tư xây dựng công trình đặc thù;</w:t>
      </w:r>
    </w:p>
    <w:p>
      <w:pPr>
        <w:jc w:val="both"/>
      </w:pPr>
      <w:r>
        <w:t>Căn cứ Nghị định số 86/2002/NĐ-CP ngày 05/11/2002 của Chính phủ quy định chức năng, nhiệm vụ, quyền hạn và cơ cấu tổ chức của Bộ, cơ quan ngang Bộ;</w:t>
      </w:r>
    </w:p>
    <w:p>
      <w:pPr>
        <w:jc w:val="both"/>
      </w:pPr>
      <w:r>
        <w:t>Căn cứ Nghị định số 77/2003/NĐ-CP ngày 01/07/2003 của Chính phủ quy định chức năng, nhiệm vụ, quyền hạn và cơ cấu tổ chức của Bộ Tài chính;</w:t>
      </w:r>
    </w:p>
    <w:p>
      <w:pPr>
        <w:jc w:val="both"/>
      </w:pPr>
      <w:r>
        <w:t>Theo đề nghị của Cục trưởng Cục Tin học và Thống kê tài chính, Tổng giám đốc Kho bạc Nhà nước, Vụ trưởng Vụ Đầu tư, Vụ trưởng Vụ Ngân sách Nhà nước, Vụ trưởng Vụ Chế độ Kế toán và Kiểm toán,</w:t>
      </w:r>
    </w:p>
    <w:p>
      <w:pPr>
        <w:jc w:val="center"/>
      </w:pPr>
      <w:r>
        <w:rPr>
          <w:b/>
        </w:rPr>
        <w:t>QUYẾT ĐỊNH:</w:t>
      </w:r>
    </w:p>
    <w:p>
      <w:pPr>
        <w:jc w:val="both"/>
      </w:pPr>
      <w:r>
        <w:rPr>
          <w:b/>
        </w:rPr>
        <w:t>Điều 1. Ban hành kèm theo Quyết định này “Quy định về mã số các đơn vị có quan hệ với ngân sách".</w:t>
      </w:r>
    </w:p>
    <w:p>
      <w:pPr>
        <w:jc w:val="both"/>
      </w:pPr>
      <w:r>
        <w:rPr>
          <w:b/>
        </w:rPr>
        <w:t>Điều 2. Quyết định này có hiệu lực thi hành sau 15 ngày kể từ ngày đăng công báo. Hệ thống mã số đơn vị có quan hệ với ngân sách được sử dụng thống nhất trong cả nước từ ngày 01/01/2009 và thay thế Quyết định số 172/2000/QĐ-BTC quy định về mã số đối với các đơn vị sử dụng ngân sách Nhà nước. Cơ quan thuộc Quốc hội, cơ quan Trung ương các đoàn thể, các Bộ, cơ quan ngang Bộ, cơ quan thuộc Chính phủ và Ủy ban nhân dân các tỉnh, thành phố trực thuộc trung ương có trách nhiệm chỉ đạo, triển khai và hướng dẫn các đơn vị trực thuộc thực hiện theo Quyết định này.</w:t>
      </w:r>
    </w:p>
    <w:p>
      <w:pPr>
        <w:jc w:val="both"/>
      </w:pPr>
      <w:r>
        <w:rPr>
          <w:b/>
        </w:rPr>
        <w:t>Điều 3. Chánh Văn phòng Bộ, Cục trưởng Cục Tin học và Thống kê tài chính, Tổng giám đốc Kho bạc Nhà nước, Vụ trưởng Vụ Ngân sách nhà nước, Vụ trưởng Vụ Đầu tư, Vụ trưởng Vụ Chế độ Kế toán và Kiểm toán, Thủ trưởng các đơn vị thuộc Bộ Tài chính và Thủ trưởng các cơ quan có liên quan chịu trách nhiệm thi hành Quyết định này./.</w:t>
      </w:r>
    </w:p>
    <w:p>
      <w:pPr>
        <w:jc w:val="both"/>
      </w:pPr>
      <w:r>
        <w:t>Nơi nhận:</w:t>
      </w:r>
    </w:p>
    <w:p>
      <w:pPr>
        <w:jc w:val="both"/>
      </w:pPr>
      <w:r>
        <w:t>- Văn phòng TW và các Ban của Đảng;</w:t>
      </w:r>
    </w:p>
    <w:p>
      <w:pPr>
        <w:jc w:val="both"/>
      </w:pPr>
      <w:r>
        <w:t>- Văn phòng Quốc hội;</w:t>
      </w:r>
    </w:p>
    <w:p>
      <w:pPr>
        <w:jc w:val="both"/>
      </w:pPr>
      <w:r>
        <w:t>- Văn phòng Chủ tịch nước;</w:t>
      </w:r>
    </w:p>
    <w:p>
      <w:pPr>
        <w:jc w:val="both"/>
      </w:pPr>
      <w:r>
        <w:t>- Văn phòng Chính phủ;</w:t>
      </w:r>
    </w:p>
    <w:p>
      <w:pPr>
        <w:jc w:val="both"/>
      </w:pPr>
      <w:r>
        <w:t>- Toà án NDTC, Viện Kiểm sát NDTC;</w:t>
      </w:r>
    </w:p>
    <w:p>
      <w:pPr>
        <w:jc w:val="both"/>
      </w:pPr>
      <w:r>
        <w:t>- Kiểm toán Nhà nước;</w:t>
      </w:r>
    </w:p>
    <w:p>
      <w:pPr>
        <w:jc w:val="both"/>
      </w:pPr>
      <w:r>
        <w:t>- Các Bộ, cơ quan ngang Bộ; cơ quan thuộc Chính phủ;</w:t>
      </w:r>
    </w:p>
    <w:p>
      <w:pPr>
        <w:jc w:val="both"/>
      </w:pPr>
      <w:r>
        <w:t>- Cơ quan TW của các đoàn thể;</w:t>
      </w:r>
    </w:p>
    <w:p>
      <w:pPr>
        <w:jc w:val="both"/>
      </w:pPr>
      <w:r>
        <w:t>- HĐND, UBND các tỉnh, thành phố trực thuộc TW;</w:t>
      </w:r>
    </w:p>
    <w:p>
      <w:pPr>
        <w:jc w:val="both"/>
      </w:pPr>
      <w:r>
        <w:t>- Sở Tài chính, Cục Thuế, Cục Hải quan; KBNN các tỉnh, thành phố trực thuộc TW;</w:t>
      </w:r>
    </w:p>
    <w:p>
      <w:pPr>
        <w:jc w:val="both"/>
      </w:pPr>
      <w:r>
        <w:t>- Công báo;</w:t>
      </w:r>
    </w:p>
    <w:p>
      <w:pPr>
        <w:jc w:val="both"/>
      </w:pPr>
      <w:r>
        <w:t>- Cục Kiểm tra văn bản (Bộ Tư pháp);</w:t>
      </w:r>
    </w:p>
    <w:p>
      <w:pPr>
        <w:jc w:val="both"/>
      </w:pPr>
      <w:r>
        <w:t>- Các đơn vị thuộc Bộ Tài chính;</w:t>
      </w:r>
    </w:p>
    <w:p>
      <w:pPr>
        <w:jc w:val="both"/>
      </w:pPr>
      <w:r>
        <w:t>- Website Chính phủ;</w:t>
      </w:r>
    </w:p>
    <w:p>
      <w:pPr>
        <w:jc w:val="both"/>
      </w:pPr>
      <w:r>
        <w:t>- Website Bộ Tài chính;</w:t>
      </w:r>
    </w:p>
    <w:p>
      <w:pPr>
        <w:jc w:val="both"/>
      </w:pPr>
      <w:r>
        <w:t>- Lưu: VT, Cục TH&amp;TKTC.</w:t>
      </w:r>
    </w:p>
    <w:p>
      <w:pPr>
        <w:jc w:val="both"/>
      </w:pPr>
      <w:r>
        <w:t>KT. BỘ TRƯỞNG</w:t>
      </w:r>
    </w:p>
    <w:p>
      <w:pPr>
        <w:jc w:val="both"/>
      </w:pPr>
      <w:r>
        <w:t>THỨ TRƯỞNG</w:t>
      </w:r>
    </w:p>
    <w:p>
      <w:pPr>
        <w:jc w:val="both"/>
      </w:pPr>
      <w:r>
        <w:t>(Đã ký)</w:t>
      </w:r>
    </w:p>
    <w:p>
      <w:pPr>
        <w:jc w:val="both"/>
      </w:pPr>
      <w:r>
        <w:t>Trần Văn Tá</w:t>
      </w:r>
    </w:p>
    <w:p>
      <w:r>
        <w:rPr>
          <w:i/>
        </w:rPr>
        <w:t>Nguồn: Cơ sở dữ liệu quốc gia về văn bản pháp luật (Bộ Tư pháp). VietSmart Legal, legal.giangpham.asia/van-ban/24094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