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"Quy chuẩn kỹ thuật quốc gia về dự trữ quốc gia đối với máy phát điện"</w:t>
      </w:r>
    </w:p>
    <w:p>
      <w:pPr>
        <w:jc w:val="both"/>
      </w:pPr>
      <w:r>
        <w:t>________________________________</w:t>
      </w:r>
    </w:p>
    <w:p>
      <w:pPr>
        <w:jc w:val="both"/>
      </w:pPr>
      <w:r>
        <w:t>BỘ TRƯỞNG BỘ TÀI CHÍNH</w:t>
      </w:r>
    </w:p>
    <w:p>
      <w:pPr>
        <w:jc w:val="both"/>
      </w:pPr>
      <w:r>
        <w:t>Căn cứ Luật Tiêu chuẩn và Quy chuẩn kỹ thuật ngày 29 tháng 6 năm 2006;</w:t>
      </w:r>
    </w:p>
    <w:p>
      <w:pPr>
        <w:jc w:val="both"/>
      </w:pPr>
      <w:r>
        <w:t>Căn cứ Pháp lệnh Dự trữ quốc gia;</w:t>
      </w:r>
    </w:p>
    <w:p>
      <w:pPr>
        <w:jc w:val="both"/>
      </w:pPr>
      <w:r>
        <w:t>Căn cứ Nghị định số 196/2004/NĐ-CP ngày 02/12/2004 của Chính phủ quy định chi tiết thi hành Pháp lệnh Dự trữ quốc gia;</w:t>
      </w:r>
    </w:p>
    <w:p>
      <w:pPr>
        <w:jc w:val="both"/>
      </w:pPr>
      <w:r>
        <w:t>Căn cứ Nghị định số 77/2003/NĐ-CP ngày 01/7/2003 của Chính phủ quy định chức năng, nhiệm vụ, quyền hạn và cơ cấu tổ chức của Bộ Tài chính;</w:t>
      </w:r>
    </w:p>
    <w:p>
      <w:pPr>
        <w:jc w:val="both"/>
      </w:pPr>
      <w:r>
        <w:t>Xét đề nghị của Cục trưởng Cục Dự trữ quốc gia.</w:t>
      </w:r>
    </w:p>
    <w:p>
      <w:pPr>
        <w:jc w:val="center"/>
      </w:pPr>
      <w:r>
        <w:rPr>
          <w:b/>
        </w:rPr>
        <w:t>QUYẾT ĐỊNH:</w:t>
      </w:r>
    </w:p>
    <w:p>
      <w:pPr>
        <w:jc w:val="both"/>
      </w:pPr>
      <w:r>
        <w:rPr>
          <w:b/>
        </w:rPr>
        <w:t>Điều 1. Ban hành kèm theo Quyết định này “Quy chuẩn kỹ thuật quốc gia về dự trữ quốc gia đối với máy phát điện”.</w:t>
      </w:r>
    </w:p>
    <w:p>
      <w:pPr>
        <w:jc w:val="both"/>
      </w:pPr>
      <w:r>
        <w:rPr>
          <w:b/>
        </w:rPr>
        <w:t>Điều 2. Quyết định này có hiệu lực thi hành sau sáu tháng, kể từ ngày đăng Công báo.</w:t>
      </w:r>
    </w:p>
    <w:p>
      <w:pPr>
        <w:jc w:val="both"/>
      </w:pPr>
      <w:r>
        <w:rPr>
          <w:b/>
        </w:rPr>
        <w:t>Điều 3. Cục trưởng Cục Dự trữ quốc gia, Thủ trưởng các cơ quan, tổ chức và cá nhân có liên quan đến việc quản lý, nhập, xuất và bảo quản máy phát điện dự trữ quốc gia chịu trách nhiệm thi hành Quyết định này./.</w:t>
      </w:r>
    </w:p>
    <w:p>
      <w:r>
        <w:rPr>
          <w:i/>
        </w:rPr>
        <w:t>Nguồn: Cơ sở dữ liệu quốc gia về văn bản pháp luật (Bộ Tư pháp). VietSmart Legal, legal.giangpham.asia/van-ban/24030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