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định sản xuất, kinh doanh</w:t>
      </w:r>
    </w:p>
    <w:p>
      <w:pPr>
        <w:jc w:val="both"/>
      </w:pPr>
      <w:r>
        <w:t>và sử dụng phân bón</w:t>
      </w:r>
    </w:p>
    <w:p>
      <w:pPr>
        <w:jc w:val="both"/>
      </w:pPr>
      <w:r>
        <w:t>___________</w:t>
      </w:r>
    </w:p>
    <w:p>
      <w:pPr>
        <w:jc w:val="both"/>
      </w:pPr>
      <w:r>
        <w:t>Căn cứ Nghị định số 01/2008/NĐ-CP ngày 03 tháng 01 năm 2008 của Chính phủ quy định chức năng, nhiệm vụ, quyền hạn và cơ cấu tổ chức của Bộ Nông nghiệp và Phát triển nông thôn;</w:t>
      </w:r>
    </w:p>
    <w:p>
      <w:pPr>
        <w:jc w:val="both"/>
      </w:pPr>
      <w:r>
        <w:t>Căn cứ Luật Chất lượng sản phẩm hàng hoá của Quốc hội khoá XII, kỳ họp thứ 2, số 05/2007/QH12 ngày 21 tháng 11 năm 2007;</w:t>
      </w:r>
    </w:p>
    <w:p>
      <w:pPr>
        <w:jc w:val="both"/>
      </w:pPr>
      <w:r>
        <w:t>Căn cứ Nghị định số 113/2003/NĐ-CP ngày 07 tháng 10 năm 2003 của Chính phủ về quản lý sản xuất, kinh doanh phân bón;</w:t>
      </w:r>
    </w:p>
    <w:p>
      <w:pPr>
        <w:jc w:val="both"/>
      </w:pPr>
      <w:r>
        <w:t>Căn cứ Nghị định số 191/2007/NĐ-CP ngày 31 tháng 12 năm 2007 của Chính phủ sửa đổi, bổ sung một số điều của Nghị định số 113/2003/NĐ-CP ngày 07/10/2003 của Chính phủ về việc quy định quản lý sản xuất, kinh doanh phân bón;</w:t>
      </w:r>
    </w:p>
    <w:p>
      <w:pPr>
        <w:jc w:val="both"/>
      </w:pPr>
      <w:r>
        <w:t>Theo đề nghị của Cục trưởng Cục Trồng trọt.</w:t>
      </w:r>
    </w:p>
    <w:p>
      <w:pPr>
        <w:jc w:val="center"/>
      </w:pPr>
      <w:r>
        <w:rPr>
          <w:b/>
        </w:rPr>
        <w:t>QUYẾT ĐỊNH</w:t>
      </w:r>
    </w:p>
    <w:p>
      <w:pPr>
        <w:jc w:val="both"/>
      </w:pPr>
      <w:r>
        <w:rPr>
          <w:b/>
        </w:rPr>
        <w:t>Điều 1. Ban hành kèm theo Quyết định này Quy định sản xuất, kinh doanh và sử dụng phân bón.</w:t>
      </w:r>
    </w:p>
    <w:p>
      <w:pPr>
        <w:jc w:val="both"/>
      </w:pPr>
      <w:r>
        <w:rPr>
          <w:b/>
        </w:rPr>
        <w:t>Điều 2. Quyết định này có hiệu lực sau mười lăm ngày kể từ ngày đăng Công báo và thay thế Quyết định số 36/2007/QĐ-BNN ngày 24/4/2007 của Bộ trưởng Bộ Nông nghiệp và Phát triển nông thôn quy định sản xuất, kinh doanh và sử dụng phân bón.</w:t>
      </w:r>
    </w:p>
    <w:p>
      <w:pPr>
        <w:jc w:val="both"/>
      </w:pPr>
      <w:r>
        <w:rPr>
          <w:b/>
        </w:rPr>
        <w:t>Điều 3. Chánh Văn phòng Bộ, Cục trưởng Cục Trồng trọt, Vụ trưởng Vụ Khoa học công nghệ, Giám đốc Sở Nông nghiệp và Phát triển nông thôn các tỉnh, thành phố trực thuộc Trung ương, Thủ trưởng các đơn vị, tổ chức và cá nhân có liên quan chịu trách nhiệm thi hành Quyết định này./.</w:t>
      </w:r>
    </w:p>
    <w:p>
      <w:r>
        <w:rPr>
          <w:i/>
        </w:rPr>
        <w:t>Nguồn: Cơ sở dữ liệu quốc gia về văn bản pháp luật (Bộ Tư pháp). VietSmart Legal, legal.giangpham.asia/van-ban/24024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