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33/2008/QĐ-BTC</w:t>
      </w:r>
    </w:p>
    <w:p>
      <w:pPr>
        <w:jc w:val="both"/>
      </w:pPr>
      <w:r>
        <w:t>Hà Nội, ngày 02 tháng 6 năm 2008</w:t>
      </w:r>
    </w:p>
    <w:p>
      <w:pPr>
        <w:jc w:val="center"/>
      </w:pPr>
      <w:r>
        <w:rPr>
          <w:b/>
        </w:rPr>
        <w:t>QUYẾT ĐỊNH</w:t>
      </w:r>
    </w:p>
    <w:p>
      <w:pPr>
        <w:jc w:val="both"/>
      </w:pPr>
      <w:r>
        <w:t>Về việc ban hành Hệ thống Mục lục ngân sách nhà nước</w:t>
      </w:r>
    </w:p>
    <w:p>
      <w:pPr>
        <w:jc w:val="both"/>
      </w:pPr>
      <w:r>
        <w:t>__________________________</w:t>
      </w:r>
    </w:p>
    <w:p>
      <w:pPr>
        <w:jc w:val="both"/>
      </w:pPr>
      <w:r>
        <w:t>BỘ TRƯỞNG BỘ TÀI CHÍNH</w:t>
      </w:r>
    </w:p>
    <w:p>
      <w:pPr>
        <w:jc w:val="both"/>
      </w:pPr>
      <w:r>
        <w:t>Căn cứ Luật Ngân sách nhà nước số 01/2002/QH11 ngày 16/12/2002;</w:t>
      </w:r>
    </w:p>
    <w:p>
      <w:pPr>
        <w:jc w:val="both"/>
      </w:pPr>
      <w:r>
        <w:t>Căn cứ Nghị định số 77/2003/NĐ-CP ngày 01/07/2003 của Chính phủ quy định chức năng, nhiệm vụ, quyền hạn và cơ cấu tổ chức của Bộ Tài chính.</w:t>
      </w:r>
    </w:p>
    <w:p>
      <w:pPr>
        <w:jc w:val="both"/>
      </w:pPr>
      <w:r>
        <w:t>Theo đề nghị của Vụ trưởng Vụ Ngân sách nhà nước;</w:t>
      </w:r>
    </w:p>
    <w:p>
      <w:pPr>
        <w:jc w:val="center"/>
      </w:pPr>
      <w:r>
        <w:rPr>
          <w:b/>
        </w:rPr>
        <w:t>QUYẾT ĐỊNH:</w:t>
      </w:r>
    </w:p>
    <w:p>
      <w:pPr>
        <w:jc w:val="both"/>
      </w:pPr>
      <w:r>
        <w:rPr>
          <w:b/>
        </w:rPr>
        <w:t>Điều 1. Ban hành Hệ thống Mục lục ngân sách nhà nước áp dụng cho công tác lập dự toán, quyết định dự toán, phân bổ giao dự toán, chấp hành dự toán và kế toán, quyết toán thu, chi ngân sách nhà nước bao gồm:</w:t>
      </w:r>
    </w:p>
    <w:p>
      <w:pPr>
        <w:jc w:val="both"/>
      </w:pPr>
      <w:r>
        <w:t>- Danh mục mã số Chương - phụ lục số 01.</w:t>
      </w:r>
    </w:p>
    <w:p>
      <w:pPr>
        <w:jc w:val="both"/>
      </w:pPr>
      <w:r>
        <w:t>- Danh mục mã số ngành kinh tế - phụ lục số 02.</w:t>
      </w:r>
    </w:p>
    <w:p>
      <w:pPr>
        <w:jc w:val="both"/>
      </w:pPr>
      <w:r>
        <w:t>- Danh mục mã số nội dung kinh tế - phụ lục số 03.</w:t>
      </w:r>
    </w:p>
    <w:p>
      <w:pPr>
        <w:jc w:val="both"/>
      </w:pPr>
      <w:r>
        <w:t>- Danh mục mã số chương trình, mục tiêu quốc gia - phụ lục số 04.</w:t>
      </w:r>
    </w:p>
    <w:p>
      <w:pPr>
        <w:jc w:val="both"/>
      </w:pPr>
      <w:r>
        <w:t>- Danh mục mã số nguồn ngân sách nhà nước - phụ lục số 05 .</w:t>
      </w:r>
    </w:p>
    <w:p>
      <w:pPr>
        <w:jc w:val="both"/>
      </w:pPr>
      <w:r>
        <w:t>- Danh mục mã số các cấp ngân sách - phụ lục số 06.</w:t>
      </w:r>
    </w:p>
    <w:p>
      <w:pPr>
        <w:jc w:val="both"/>
      </w:pPr>
      <w:r>
        <w:rPr>
          <w:b/>
        </w:rPr>
        <w:t>Điều 2. Quyết định này có hiệu lực thi hành từ năm ngân sách 2009 và thay thế hệ thống Mục lục ngân sách nhà nước ban hành theo Quyết định số 280 TC/QĐ/NSNN ngày 15/4/1997 của Bộ trưởng Bộ Tài chính và các Quyết định bổ sung, sửa đổi: số 148/2002/QĐ-BTC ngày 06/12/2002, số 156/2002/QĐ-BTC ngày 20/12/2002, số 26/2004/QĐ-BTC ngày 18/3/2004, số 23/2005/QĐ-BTC ngày 15/4/2005, số 70/2005/QĐ-BTC ngày 19/10/2005, số 01/2006/QĐ-BTC ngày 05/01/2006, số 26/2006/QĐ-BTC ngày 11/4/2006, số 53/2006/QĐ-BTC ngày 04/10/2006, số 74/2006/QĐ-BTC ngày 20/12/2006, số 07/2007/QĐ-BTC ngày 13/02/2007, số 79/2007/QĐ-BTC ngày 01/10/2007, số 105/2007/QĐ-BT ngày 19/12/2007, số 05/2008/QĐ-BTC ngày 23/01/2008; số 26/2008/QĐ-BTC ngày 14/5/2008; các Thông tư bổ sung, sửa đổi: số 156/1998/TT-BTC ngày 12/12/1998, số 60/1999/TT-BTC ngày 01/6/1999, số 67/2000/TT-BTC ngày 13/7/2000, số 67/2001/TT-BTC ngày 22/8/2001; các Quyết định của Bộ trưởng Bộ Tài chính ban hành danh mục mã số chương trình, mục tiêu và dự án quốc gia: số 25/2006/QĐ-BTC ngày 11/4/2006, số 75/2006/QĐ-BTC ngày 20/12/2006, số 37/2007/QĐ-BTC ngày 17/5/2007, số 88/2007/QĐ-BTC ngày 23/10/2007 và số 103/2007/QĐ-BTC ngày 18/12/2007 ban hành danh mục mã số chương trình, mục tiêu và dự án quốc gia giai đoạn 2006-2010. Những quy định và hướng dẫn về Mục lục Ngân sách nhà nước trái với qui định tại Quyết định này đều không có hiệu lực thi hành kể từ năm ngân sách 2009. Những khoản kinh phí của năm ngân sách 2008 được chuyển nguồn sang năm ngân sách 2009 được hạch toán theo Mục lục Ngân sách nhà nước quy định tại Quyết định này.</w:t>
      </w:r>
    </w:p>
    <w:p>
      <w:pPr>
        <w:jc w:val="both"/>
      </w:pPr>
      <w:r>
        <w:rPr>
          <w:b/>
        </w:rPr>
        <w:t>Điều 3. Các Bộ, cơ quan ngang Bộ, cơ quan thuộc Chính phủ, cơ quan Trung ương các đoàn thể và Uỷ ban nhân dân các tỉnh, thành phố trực thuộc Trung ương có trách nhiệm chỉ đạo, triển khai và hướng dẫn các đơn vị trực thuộc thực hiện Quyết định này.</w:t>
      </w:r>
    </w:p>
    <w:p>
      <w:pPr>
        <w:jc w:val="both"/>
      </w:pPr>
      <w:r>
        <w:rPr>
          <w:b/>
        </w:rPr>
        <w:t>Điều 4. Vụ trưởng Vụ Ngân sách nhà nước, Chánh Văn phòng Bộ, Thủ trưởng các đơn vị thuộc Bộ Tài chính chịu trách nhiệm hướng dẫn và tổ chức thi hành Quyết định này./.</w:t>
      </w:r>
    </w:p>
    <w:p>
      <w:pPr>
        <w:jc w:val="both"/>
      </w:pPr>
      <w:r>
        <w:t>KT. BỘ TRƯỞNG</w:t>
      </w:r>
    </w:p>
    <w:p>
      <w:pPr>
        <w:jc w:val="both"/>
      </w:pPr>
      <w:r>
        <w:t>THỨ TRƯỞNG</w:t>
      </w:r>
    </w:p>
    <w:p>
      <w:pPr>
        <w:jc w:val="both"/>
      </w:pPr>
      <w:r>
        <w:t>(Đã ký)</w:t>
      </w:r>
    </w:p>
    <w:p>
      <w:pPr>
        <w:jc w:val="both"/>
      </w:pPr>
      <w:r>
        <w:t>Nguyễn Công Nghiệp</w:t>
      </w:r>
    </w:p>
    <w:p>
      <w:r>
        <w:rPr>
          <w:i/>
        </w:rPr>
        <w:t>Nguồn: Cơ sở dữ liệu quốc gia về văn bản pháp luật (Bộ Tư pháp). VietSmart Legal, legal.giangpham.asia/van-ban/24008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