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w:t>
      </w:r>
    </w:p>
    <w:p>
      <w:pPr>
        <w:jc w:val="both"/>
      </w:pPr>
      <w:r>
        <w:t>CỘNG HÒA XÃ HỘI CHỦ NGHĨA VIỆT NAM</w:t>
      </w:r>
    </w:p>
    <w:p>
      <w:pPr>
        <w:jc w:val="both"/>
      </w:pPr>
      <w:r>
        <w:t>Độc lập – Tự do – Hạnh phúc</w:t>
      </w:r>
    </w:p>
    <w:p>
      <w:pPr>
        <w:jc w:val="both"/>
      </w:pPr>
      <w:r>
        <w:t>Số: 33/2009/TT-BGDĐT</w:t>
      </w:r>
    </w:p>
    <w:p>
      <w:pPr>
        <w:jc w:val="both"/>
      </w:pPr>
      <w:r>
        <w:t>Ngày 13 tháng 11 năm 2009</w:t>
      </w:r>
    </w:p>
    <w:p>
      <w:pPr>
        <w:jc w:val="center"/>
      </w:pPr>
      <w:r>
        <w:rPr>
          <w:b/>
        </w:rPr>
        <w:t>THÔNG TƯ</w:t>
      </w:r>
    </w:p>
    <w:p>
      <w:pPr>
        <w:jc w:val="both"/>
      </w:pPr>
      <w:r>
        <w:t>Ban hành Danh mục thiết bị dạy học tối thiểu môn học giáo dục quốc phòng - an ninh</w:t>
      </w:r>
    </w:p>
    <w:p>
      <w:pPr>
        <w:jc w:val="both"/>
      </w:pPr>
      <w:r>
        <w:t>trong các trường đại học, cao đẳng, trung cấp chuyên nghiệp, trung học phổ thông</w:t>
      </w:r>
    </w:p>
    <w:p>
      <w:pPr>
        <w:jc w:val="both"/>
      </w:pPr>
      <w:r>
        <w:t>và trường phổ thông có nhiều cấp học (có cấp trung học phổ thông)</w:t>
      </w:r>
    </w:p>
    <w:p>
      <w:pPr>
        <w:jc w:val="both"/>
      </w:pPr>
      <w:r>
        <w:t>_______________</w:t>
      </w:r>
    </w:p>
    <w:p>
      <w:pPr>
        <w:jc w:val="both"/>
      </w:pPr>
      <w:r>
        <w:t>Căn cứ Nghị định số 178/2007/NĐ-CP ngày 03 tháng 12 năm 2007 của Chính phủ quy định chức năng, nhiệm vụ, quyền hạn và cơ cấu tổ chức của Bộ, cơ quan ngang Bộ;</w:t>
      </w:r>
    </w:p>
    <w:p>
      <w:pPr>
        <w:jc w:val="both"/>
      </w:pPr>
      <w:r>
        <w:t>Căn cứ Nghị định 32/2008/NĐ-CP ngày 19 tháng 3 năm 2008 của Chính phủ quy định chức năng, nhiệm vụ, quyền hạn và cơ cấu tổ chức của Bộ Giáo dục và Đào tạo;</w:t>
      </w:r>
    </w:p>
    <w:p>
      <w:pPr>
        <w:jc w:val="both"/>
      </w:pPr>
      <w:r>
        <w:t>Căn cứ Nghị định số 116/2007/NĐ-CP ngày 10 tháng 7 năm 2007 của Chính phủ về giáo dục quốc phòng - an ninh;</w:t>
      </w:r>
    </w:p>
    <w:p>
      <w:pPr>
        <w:jc w:val="both"/>
      </w:pPr>
      <w:r>
        <w:t>Căn cứ Quyết định số 81/2007/QĐ-BGDĐT ngày 24 tháng 12 năm 2007 của Bộ trưởng Bộ Giáo dục và Đào tạo ban hành chương trình giáo dục quốc phòng - an ninh trình độ đại học, cao đẳng;</w:t>
      </w:r>
    </w:p>
    <w:p>
      <w:pPr>
        <w:jc w:val="both"/>
      </w:pPr>
      <w:r>
        <w:t>Căn cứ Quyết định số 80/2007/QĐ-BGDĐT ngày 24 tháng 12 năm 2007 của Bộ trưởng Bộ Giáo dục và Đào tạo ban hành chương trình giáo dục quốc phòng - an ninh trình độ trung cấp chuyên nghiệp;</w:t>
      </w:r>
    </w:p>
    <w:p>
      <w:pPr>
        <w:jc w:val="both"/>
      </w:pPr>
      <w:r>
        <w:t>Căn cứ Quyết định số 79/2007/QĐ-BGDĐT ngày 24 tháng 12 năm 2007 của Bộ trưởng Bộ Giáo dục và Đào tạo ban hành chương trình giáo dục quốc phòng - an ninh cấp trung học phổ thông;</w:t>
      </w:r>
    </w:p>
    <w:p>
      <w:pPr>
        <w:jc w:val="both"/>
      </w:pPr>
      <w:r>
        <w:t>Theo đề nghị của Vụ trưởng Vụ Giáo dục Quốc phòng; Cục trưởng Cục Cơ sở vật chất và Thiết bị trường học, đồ chơi trẻ em,</w:t>
      </w:r>
    </w:p>
    <w:p>
      <w:pPr>
        <w:jc w:val="both"/>
      </w:pPr>
      <w:r>
        <w:t>Bộ trưởng Bộ Giáo dục và Đào tạo Quyết định:</w:t>
      </w:r>
    </w:p>
    <w:p>
      <w:pPr>
        <w:jc w:val="both"/>
      </w:pPr>
      <w:r>
        <w:t>Điều 1</w:t>
      </w:r>
    </w:p>
    <w:p>
      <w:pPr>
        <w:jc w:val="both"/>
      </w:pPr>
      <w:r>
        <w:t>Ban hành kèm theo Thông tư này Danh mục thiết bị dạy học tối thiểu môn học giáo dục quốc phòng - an ninh trong các trường đại học, cao đẳng, trung cấp chuyên nghiệp, trung học phổ thông và trường phổ thông có nhiều cấp học (có cấp trung học phổ thông).</w:t>
      </w:r>
    </w:p>
    <w:p>
      <w:pPr>
        <w:jc w:val="both"/>
      </w:pPr>
      <w:r>
        <w:t>Điều 2</w:t>
      </w:r>
    </w:p>
    <w:p>
      <w:pPr>
        <w:jc w:val="both"/>
      </w:pPr>
      <w:r>
        <w:t>Thông tư này có hiệu lực kể từ ngày 28 tháng 12 năm 2009 và thay thế Quyết định số 52/2003/QĐ-BGD&amp;ĐT ngày 07 tháng 11 năm 2003 của Bộ trưởng Bộ Giáo dục và Đào tạo về việc ban hành Danh mục thiết bị dạy học môn học giáo dục quốc phòng trong các trường đại học, cao đẳng, trung học chuyên nghiệp và trung học phổ thông.</w:t>
      </w:r>
    </w:p>
    <w:p>
      <w:pPr>
        <w:jc w:val="both"/>
      </w:pPr>
      <w:r>
        <w:t>Điều 3</w:t>
      </w:r>
    </w:p>
    <w:p>
      <w:pPr>
        <w:jc w:val="both"/>
      </w:pPr>
      <w:r>
        <w:t>Căn cứ vào Danh mục thiết bị dạy học tối thiểu môn học giáo dục quốc phòng - an ninh trong các trường đại học, cao đẳng, trung cấp chuyên nghiệp, trung học phổ thông và trường phổ thông có nhiều cấp học (có cấp trung học phổ thông) ban hành kèm theo Thông tư này, Thủ trưởng các cơ sở giáo dục đại học, hiệu trưởng các trường trung cấp chuyên nghiệp, giám đốc các cơ sở giáo dục và đào tạo có trách nhiệm chỉ đạo việc mua sắm, sử dụng và quản lý thiết bị dạy học.</w:t>
      </w:r>
    </w:p>
    <w:p>
      <w:pPr>
        <w:jc w:val="both"/>
      </w:pPr>
      <w:r>
        <w:t>Điều 4</w:t>
      </w:r>
    </w:p>
    <w:p>
      <w:pPr>
        <w:jc w:val="both"/>
      </w:pPr>
      <w:r>
        <w:t>Chánh Văn phòng; Vụ trưởng Vụ Giáo dục Quốc phòng; Cục trưởng Cục Cơ sở vật chất và Thiết bị trường học, đồ chơi trẻ em; Thủ trưởng các đơn vị có liên quan thuộc Bộ Giáo dục và Đào tạo; Giám đốc các đại học, học viện; Hiệu trưởng các trường đại học, cao đẳng, trung cấp chuyên nghiệp; Giám đốc các sở giáo dục và đào tạo, các trung tâm giáo dục quốc phòng - an ninh chịu trách nhiệm thi hành Thông tư này./.</w:t>
      </w:r>
    </w:p>
    <w:p>
      <w:pPr>
        <w:jc w:val="both"/>
      </w:pPr>
      <w:r>
        <w:t>KT. BỘ TRƯỞNG</w:t>
      </w:r>
    </w:p>
    <w:p>
      <w:pPr>
        <w:jc w:val="both"/>
      </w:pPr>
      <w:r>
        <w:t>THỨ TRƯỞNG</w:t>
      </w:r>
    </w:p>
    <w:p>
      <w:pPr>
        <w:jc w:val="both"/>
      </w:pPr>
      <w:r>
        <w:t>(Đã ký)</w:t>
      </w:r>
    </w:p>
    <w:p>
      <w:pPr>
        <w:jc w:val="both"/>
      </w:pPr>
      <w:r>
        <w:t>Nguyễn Vinh Hiển</w:t>
      </w:r>
    </w:p>
    <w:p>
      <w:r>
        <w:rPr>
          <w:i/>
        </w:rPr>
        <w:t>Nguồn: Cơ sở dữ liệu quốc gia về văn bản pháp luật (Bộ Tư pháp). VietSmart Legal, legal.giangpham.asia/van-ban/23780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