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Danh mục hàng hóa và thuế suất thuế nhập khẩu để áp dụng hạn ngạch thuế quan</w:t>
      </w:r>
    </w:p>
    <w:p>
      <w:pPr>
        <w:jc w:val="both"/>
      </w:pPr>
      <w:r>
        <w:t>____________________________</w:t>
      </w:r>
    </w:p>
    <w:p>
      <w:pPr>
        <w:jc w:val="both"/>
      </w:pPr>
      <w:r>
        <w:t>Căn cứ Luật Thuế xuất khẩu, thuế nhập khẩu số 45/2005/QH11 ngày 14/06/2005;</w:t>
      </w:r>
    </w:p>
    <w:p>
      <w:pPr>
        <w:jc w:val="both"/>
      </w:pPr>
      <w:r>
        <w:t>Căn cứ Nghị quyết số 295/2007/NQ-UBTVQH12 ngày 28/9/2007 của Ủy ban Thường vụ Quốc hội về việc ban hành Biểu thuế xuất khẩu theo danh mục nhóm hàng chịu thuế và khung thuế suất đối với từng nhóm hàng, Biểu thuế nhập khẩu ưu đãi theo danh mục nhóm hàng chịu thuế và khung thuế suất ưu đãi đối với từng nhóm hàng;</w:t>
      </w:r>
    </w:p>
    <w:p>
      <w:pPr>
        <w:jc w:val="both"/>
      </w:pPr>
      <w:r>
        <w:t>Căn cứ Nghị định số 149/2005/NĐ-CP ngày 08/12/2005 của Chính phủ quy định chi tiết thi hành Luật Thuế xuất khẩu, thuế nhập khẩu;</w:t>
      </w:r>
    </w:p>
    <w:p>
      <w:pPr>
        <w:jc w:val="both"/>
      </w:pPr>
      <w:r>
        <w:t>Căn cứ Nghị định số 12/2006/NĐ-CP ngày 23/1/2006 của Chính phủ quy định chi tiết thi hành Luật Thương mại về hoạt động mua bán hàng hóa quốc tế và các hoạt động đại lý mua, bán, gia công và quá cảnh hàng hóa với nước ngoài;</w:t>
      </w:r>
    </w:p>
    <w:p>
      <w:pPr>
        <w:jc w:val="both"/>
      </w:pPr>
      <w:r>
        <w:t>Căn cứ Nghị định số 118/2008/NĐ-CP ngày 27/11/2008 của Chính phủ quy định chức năng, nhiệm vụ, quyền hạn và cơ cấu tổ chức của Bộ Tài chính;</w:t>
      </w:r>
    </w:p>
    <w:p>
      <w:pPr>
        <w:jc w:val="both"/>
      </w:pPr>
      <w:r>
        <w:t>Bộ Tài chính ban hành Danh mục hàng hóa và thuế suất để áp dụng hạn ngạch thuế quan đối với hàng nhập khẩu như sau:</w:t>
      </w:r>
    </w:p>
    <w:p>
      <w:pPr>
        <w:jc w:val="both"/>
      </w:pPr>
      <w:r>
        <w:rPr>
          <w:b/>
        </w:rPr>
        <w:t>Điều 1. Danh mục và thuế suất áp dụng hạn ngạch</w:t>
      </w:r>
    </w:p>
    <w:p>
      <w:pPr>
        <w:jc w:val="both"/>
      </w:pPr>
      <w:r>
        <w:t>Ban hành kèm theo Thông tư này Danh mục hàng hóa và thuế suất để áp dụng hạn ngạch thuế quan đối với hàng nhập khẩu (không phân biệt xuất xứ hàng hóa).</w:t>
      </w:r>
    </w:p>
    <w:p>
      <w:pPr>
        <w:jc w:val="both"/>
      </w:pPr>
      <w:r>
        <w:rPr>
          <w:b/>
        </w:rPr>
        <w:t>Điều 2. Lượng hạn ngạch và thuế suất áp dụng</w:t>
      </w:r>
    </w:p>
    <w:p>
      <w:pPr>
        <w:jc w:val="both"/>
      </w:pPr>
      <w:r>
        <w:t>- Lượng hạn ngạch nhập khẩu hàng năm theo quy định của Bộ Công Thương.</w:t>
      </w:r>
    </w:p>
    <w:p>
      <w:pPr>
        <w:jc w:val="both"/>
      </w:pPr>
      <w:r>
        <w:t>- Hàng hóa nhập khẩu ngoài số lượng hạn ngạch nhập khẩu hàng năm áp dụng thuế suất thuế nhập khẩu quy định tại Thông tư này.</w:t>
      </w:r>
    </w:p>
    <w:p>
      <w:pPr>
        <w:jc w:val="both"/>
      </w:pPr>
      <w:r>
        <w:t>- Hàng hóa nhập khẩu trong số lượng hạn ngạch nhập khẩu hàng năm áp dụng thuế suất thuế nhập khẩu quy định tại Biểu thuế nhập khẩu ưu đãi hiện hành hoặc áp dụng mức thuế suất thuế nhập khẩu ưu đãi đặc biệt mà Việt Nam có cam kết (nếu thỏa mãn các điều kiện để được hưởng thuế suất thuế nhập khẩu ưu đãi đặc biệt này).</w:t>
      </w:r>
    </w:p>
    <w:p>
      <w:pPr>
        <w:jc w:val="both"/>
      </w:pPr>
      <w:r>
        <w:rPr>
          <w:b/>
        </w:rPr>
        <w:t>Điều 3. Hiệu lực thi hành</w:t>
      </w:r>
    </w:p>
    <w:p>
      <w:pPr>
        <w:jc w:val="both"/>
      </w:pPr>
      <w:r>
        <w:t>1. Thông tư này có hiệu lực và áp dụng đối với các Tờ khai hải quan hàng hóa nhập khẩu đăng ký với cơ quan Hải quan sau 45 (bốn mươi lăm) ngày kể từ ngày ký.</w:t>
      </w:r>
    </w:p>
    <w:p>
      <w:pPr>
        <w:jc w:val="both"/>
      </w:pPr>
      <w:r>
        <w:t>2. Trong trường hợp điều ước quốc tế mà Việt Nam là thành viên có quy định về thuế nhập khẩu khác với quy định của Thông tư này thì áp dụng quy định của điều ước quốc tế đó.</w:t>
      </w:r>
    </w:p>
    <w:p>
      <w:pPr>
        <w:jc w:val="both"/>
      </w:pPr>
      <w:r>
        <w:t>3. Bãi bỏ các Quyết định số 77/2006/QĐ-BTC ngày 29/12/2006, Quyết định số 46/2007/QĐ-BTC ngày 6/6/2007 của Bộ Tài chính về việc ban hành Danh mục hàng hóa và thuế suất thuế nhập khẩu để áp dụng hạn ngạch thuế quan./.</w:t>
      </w:r>
    </w:p>
    <w:p>
      <w:r>
        <w:rPr>
          <w:i/>
        </w:rPr>
        <w:t>Nguồn: Cơ sở dữ liệu quốc gia về văn bản pháp luật (Bộ Tư pháp). VietSmart Legal, legal.giangpham.asia/van-ban/23626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