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ban hành tiêu chí, danh mục phân loại doanh nghiệp nhà nước và Tổng công ty nhà nước</w:t>
      </w:r>
    </w:p>
    <w:p>
      <w:pPr>
        <w:jc w:val="both"/>
      </w:pPr>
      <w:r>
        <w:t>____________________________</w:t>
      </w:r>
    </w:p>
    <w:p>
      <w:pPr>
        <w:jc w:val="both"/>
      </w:pPr>
      <w:r>
        <w:t>THỦ TƯỚNG CHÍNH PHỦ</w:t>
      </w:r>
    </w:p>
    <w:p>
      <w:pPr>
        <w:jc w:val="both"/>
      </w:pPr>
      <w:r>
        <w:t>Căn cứ Luật Tổ chức Chính phủ ngày 25 tháng 12 năm 2001;</w:t>
      </w:r>
    </w:p>
    <w:p>
      <w:pPr>
        <w:jc w:val="both"/>
      </w:pPr>
      <w:r>
        <w:t>Để triển khai thực hiện Nghị quyết Hội nghị lần thứ 3 Ban Chấp hành Trung ương Đảng khoá IX về tiếp tục sắp xếp, đổi mới, phát triển và nâng cao hiệu quả doanh nghiệp nhà nước;</w:t>
      </w:r>
    </w:p>
    <w:p>
      <w:pPr>
        <w:jc w:val="both"/>
      </w:pPr>
      <w:r>
        <w:t>Theo đề nghị của Bộ trưởng Bộ Kế hoạch và Đầu tư.</w:t>
      </w:r>
    </w:p>
    <w:p>
      <w:pPr>
        <w:jc w:val="center"/>
      </w:pPr>
      <w:r>
        <w:rPr>
          <w:b/>
        </w:rPr>
        <w:t>QUYẾT ĐỊNH:</w:t>
      </w:r>
    </w:p>
    <w:p>
      <w:pPr>
        <w:jc w:val="both"/>
      </w:pPr>
      <w:r>
        <w:rPr>
          <w:b/>
        </w:rPr>
        <w:t>Điều 1. Ban hành kèm theo Quyết định này tiêu chí, danh mục phân loại doanh nghiệp nhà nước và Tổng công ty nhà nước.</w:t>
      </w:r>
    </w:p>
    <w:p>
      <w:pPr>
        <w:jc w:val="both"/>
      </w:pPr>
      <w:r>
        <w:rPr>
          <w:b/>
        </w:rPr>
        <w:t>Điều 2. Đối tượng áp dụng của Quyết định này bao gồm doanh nghiệp nhà nước độc lập, doanh nghiệp thành viên của các Tổng công ty nhà nước và các Tổng công ty nhà nước hiện có.</w:t>
      </w:r>
    </w:p>
    <w:p>
      <w:pPr>
        <w:jc w:val="both"/>
      </w:pPr>
      <w:r>
        <w:rPr>
          <w:b/>
        </w:rPr>
        <w:t>Điều 3. Quyết định này có hiệu lực sau 15 ngày, kể từ ngày ký ban hành. Những quy định trước đây trái với tiêu chí, danh mục phân loại doanh nghiệp nhà nước và Tổng công ty nhà nước ban hành kèm theo Quyết định này đều bãi bỏ.</w:t>
      </w:r>
    </w:p>
    <w:p>
      <w:pPr>
        <w:jc w:val="both"/>
      </w:pPr>
      <w:r>
        <w:t>Các Bộ trưởng, Thủ trưởng cơ quan ngang Bộ, Thủ trưởng cơ quan thuộc Chính phủ, Chủ tịch Uỷ ban nhân dân các tỉnh, thành phố trực thuộc Trung ương, Chủ tịch Hội đồng quản trị Tổng công ty 91 có trách nhiệm căn cứ vào Quyết định này, xây dựng Đề án tổng thể sắp xếp doanh nghiệp nhà nước, Tổng công ty nhà nước trực thuộc mình quản lý, trình Thủ tướng Chính phủ phê duyệt.</w:t>
      </w:r>
    </w:p>
    <w:p>
      <w:pPr>
        <w:jc w:val="both"/>
      </w:pPr>
      <w:r>
        <w:t>Ban Chỉ đạo Đổi mới và Phát triển doanh nghiệp theo dõi, đôn đốc các Bộ, ngành, địa phương, Tổng công ty 91 xây dựng và thực hiện Đề án tổng thể sắp xếp doanh nghiệp nhà nước đã được phê duyệt theo đúng tiến độ đề ra.</w:t>
      </w:r>
    </w:p>
    <w:p>
      <w:r>
        <w:rPr>
          <w:i/>
        </w:rPr>
        <w:t>Nguồn: Cơ sở dữ liệu quốc gia về văn bản pháp luật (Bộ Tư pháp). VietSmart Legal, legal.giangpham.asia/van-ban/22493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