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53/2002/TT-BTC</w:t>
      </w:r>
    </w:p>
    <w:p>
      <w:pPr>
        <w:jc w:val="both"/>
      </w:pPr>
      <w:r>
        <w:t>CỘNG HOÀ XÃ HỘI CHỦ NGHĨA VIỆT NAM</w:t>
      </w:r>
    </w:p>
    <w:p>
      <w:pPr>
        <w:jc w:val="both"/>
      </w:pPr>
      <w:r>
        <w:t>Độc lập - Tự do - Hạnh phúc</w:t>
      </w:r>
    </w:p>
    <w:p>
      <w:pPr>
        <w:jc w:val="both"/>
      </w:pPr>
      <w:r>
        <w:t>Hà Nội, ngày 25 tháng 6 năm 2002</w:t>
      </w:r>
    </w:p>
    <w:p>
      <w:pPr>
        <w:jc w:val="center"/>
      </w:pPr>
      <w:r>
        <w:rPr>
          <w:b/>
        </w:rPr>
        <w:t>THÔNG TƯ</w:t>
      </w:r>
    </w:p>
    <w:p>
      <w:pPr>
        <w:jc w:val="both"/>
      </w:pPr>
      <w:r>
        <w:t>Hướng dẫn sửa đổi Thông tư số 24/2002/TT-BTC ngày 20/03/2002 của Bộ Tài chính về thực hiện nghĩa vụ thuế đối với các hoạt động cho thuê tài chính</w:t>
      </w:r>
    </w:p>
    <w:p>
      <w:pPr>
        <w:jc w:val="both"/>
      </w:pPr>
      <w:r>
        <w:t>______________________</w:t>
      </w:r>
    </w:p>
    <w:p>
      <w:pPr>
        <w:jc w:val="both"/>
      </w:pPr>
      <w:r>
        <w:t>Căn cứ Nghị định số 16/2001/NĐ-CP ngày 2/5/2001 của Chính phủ về tổ chức và hoạt động của công ty cho thuê tài chính, Bộ Tài chính đã ban hành Thông tư số 24/2002/TT-BTC ngày 20/3/2002 hướng dẫn thực hiện nghĩa vụ thuế đối với các hoạt động cho thuê tài chính. Để phù hợp với đặc điểm kinh doanh của hoạt động cho thuê tài chính, Bộ Tài chính hướng dẫn sửa đổi như sau:</w:t>
      </w:r>
    </w:p>
    <w:p>
      <w:pPr>
        <w:jc w:val="both"/>
      </w:pPr>
      <w:r>
        <w:t>1. Thay thế điểm 2, mục III Thông tư số 24/2002/TT-BTC ngày 20/3/2002 của Bộ Tài chính bằng điểm 2 mới như sau:</w:t>
      </w:r>
    </w:p>
    <w:p>
      <w:pPr>
        <w:jc w:val="both"/>
      </w:pPr>
      <w:r>
        <w:t>Căn cứ theo khoản 3 Điều 22 Nghị định số 16/2001/NĐ-CP ngày 2/5/2001 của Chính phủ, tài sản cho thuê của các Công ty cho thuê tài chính được chuyển quyền sở hữu cho bên thuê (khi kết thúc thời hạn thuê) thì bên thuê không phải nộp lệ phí trước bạ. Bên thuê khi kê khai lệ phí trước bạ với cơ quan thuế phải cung cấp các hồ sơ sau:</w:t>
      </w:r>
    </w:p>
    <w:p>
      <w:pPr>
        <w:jc w:val="both"/>
      </w:pPr>
      <w:r>
        <w:t>- Hợp đồng cho thuê tài chính được ký giữa bên cho thuê và bên thuê theo qui định tại Điều 17 Nghị định số 16/2001/NĐ-CP ngày 2/5/2001 của Chính phủ về tổ chức và hoạt động của công ty cho thuê tài chính.</w:t>
      </w:r>
    </w:p>
    <w:p>
      <w:pPr>
        <w:jc w:val="both"/>
      </w:pPr>
      <w:r>
        <w:t>- Biên bản thanh lý hợp đồng cho thuê tài chính giữa bên cho thuê và bên thuê tài sản.</w:t>
      </w:r>
    </w:p>
    <w:p>
      <w:pPr>
        <w:jc w:val="both"/>
      </w:pPr>
      <w:r>
        <w:t>- Giấy chứng nhận quyền sở hữu tài sản của công ty cho thuê tài chính.</w:t>
      </w:r>
    </w:p>
    <w:p>
      <w:pPr>
        <w:jc w:val="both"/>
      </w:pPr>
      <w:r>
        <w:t>2. Thông tư này có hiệu lực thi hành sau 15 ngày kể từ ngày ký.</w:t>
      </w:r>
    </w:p>
    <w:p>
      <w:pPr>
        <w:jc w:val="both"/>
      </w:pPr>
      <w:r>
        <w:t>Trong quá trình thực hiện nếu có vướng mắc, đề nghị các tổ chức, cá nhân kịp thời phản ánh về Bộ Tài chính để nghiên cứu, giải quyết.</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legal.giangpham.asia/van-ban/22371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