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187/2003/QĐ-TTg</w:t>
      </w:r>
    </w:p>
    <w:p>
      <w:pPr>
        <w:jc w:val="both"/>
      </w:pPr>
      <w:r>
        <w:t>Hà Nội, ngày 15 tháng 9 năm 2003</w:t>
      </w:r>
    </w:p>
    <w:p>
      <w:pPr>
        <w:jc w:val="center"/>
      </w:pPr>
      <w:r>
        <w:rPr>
          <w:b/>
        </w:rPr>
        <w:t>QUYẾT ĐỊNH</w:t>
      </w:r>
    </w:p>
    <w:p>
      <w:pPr>
        <w:jc w:val="both"/>
      </w:pPr>
      <w:r>
        <w:t>Về việc ban hành Quy chế quản lý kinh doanh xăng, dầu</w:t>
      </w:r>
    </w:p>
    <w:p>
      <w:pPr>
        <w:jc w:val="both"/>
      </w:pPr>
      <w:r>
        <w:t>____________________</w:t>
      </w:r>
    </w:p>
    <w:p>
      <w:pPr>
        <w:jc w:val="both"/>
      </w:pPr>
      <w:r>
        <w:t>THỦ TƯỚNG CHÍNH PHỦ</w:t>
      </w:r>
    </w:p>
    <w:p>
      <w:pPr>
        <w:jc w:val="both"/>
      </w:pPr>
      <w:r>
        <w:t>Căn cứ Luật Tổ chức Chính phủ ngày 25 tháng 12 năm 2001;</w:t>
      </w:r>
    </w:p>
    <w:p>
      <w:pPr>
        <w:jc w:val="both"/>
      </w:pPr>
      <w:r>
        <w:t>Căn cứ Nghị định số 44/2001/NĐ-CP ngày 02 tháng 08 năm 2001 của Chính phủ về sửa đổi, bổ sung một số điều của Nghị định số 57/1998/NĐ-CP ngày 31 tháng 07 năm 1998;</w:t>
      </w:r>
    </w:p>
    <w:p>
      <w:pPr>
        <w:jc w:val="both"/>
      </w:pPr>
      <w:r>
        <w:t>Căn cứ Nghị định số 11/1999/NĐ-CP ngày 03 tháng 03 năm 1999 của Chính phủ về hàng hoá cấm lưu thông, dịch vụ thương mại cấm thực hiện, hàng hóa, dịch vụ thương mại hạn chế kinh doanh, kinh doanh có điều kiện;</w:t>
      </w:r>
    </w:p>
    <w:p>
      <w:pPr>
        <w:jc w:val="both"/>
      </w:pPr>
      <w:r>
        <w:t>Để xây dựng hệ thống cung ứng xăng, dầu phát triển ổn định, từng bước phù hợp với cơ chế thị trường có sự quản lý của Nhà nước, bảo đảm an toàn năng lượng quốc gia, bảo đảm cân đối xăng, dầu cho nhu cầu của nền kinh tế quốc dân và tiêu dùng xã hội;</w:t>
      </w:r>
    </w:p>
    <w:p>
      <w:pPr>
        <w:jc w:val="both"/>
      </w:pPr>
      <w:r>
        <w:t>Xét đề nghị của Bộ trưởng Bộ Thương mại,</w:t>
      </w:r>
    </w:p>
    <w:p>
      <w:pPr>
        <w:jc w:val="center"/>
      </w:pPr>
      <w:r>
        <w:rPr>
          <w:b/>
        </w:rPr>
        <w:t>QUYẾT ĐỊNH:</w:t>
      </w:r>
    </w:p>
    <w:p>
      <w:pPr>
        <w:jc w:val="both"/>
      </w:pPr>
      <w:r>
        <w:rPr>
          <w:b/>
        </w:rPr>
        <w:t>Điều 1. Ban hành kèm theo Quyết định này Quy chế quản lý kinh doanh xăng, dầu.</w:t>
      </w:r>
    </w:p>
    <w:p>
      <w:pPr>
        <w:jc w:val="both"/>
      </w:pPr>
      <w:r>
        <w:rPr>
          <w:b/>
        </w:rPr>
        <w:t>Điều 2. Quyết định này có hiệu lực từ ngày 01 tháng 01 năm 2004. Bộ trưởng các Bộ: Thương mại, Tài chính, Khoa học và Công nghệ, Tài nguyên và Môi trường, Kế hoạch và Đầu tư và Giao thông vận tải chịu trách nhiệm ban hành các văn bản liên quan nêu tại Quy chế quản lý kinh doanh xăng, dầu kèm theo Quyết định này, bảo đảm thực hiện đồng bộ khi Quyết định này có hiệu lực thi hành. Các quy định trái với những quy định trong Quy chế kèm theo Quyết định này đều được bãi bỏ.</w:t>
      </w:r>
    </w:p>
    <w:p>
      <w:pPr>
        <w:jc w:val="both"/>
      </w:pPr>
      <w:r>
        <w:rPr>
          <w:b/>
        </w:rPr>
        <w:t>Điều 3. Các Bộ trưởng, Thủ tưởng cơ quan ngang Bộ, Thủ trưởng cơ quan trực thuộc Chính phủ, Chủ tịch Uỷ ban nhân dân các tỉnh, thành phố trực thuộc Trung ương, Giám đốc các doanh nghiệp kinh doanh xăng, dầu chịu trách nhiệm thi hành Quyết định này./.</w:t>
      </w:r>
    </w:p>
    <w:p>
      <w:pPr>
        <w:jc w:val="both"/>
      </w:pPr>
      <w:r>
        <w:t>KT. THỦ TƯỚNG CHÍNH PHỦ</w:t>
      </w:r>
    </w:p>
    <w:p>
      <w:pPr>
        <w:jc w:val="both"/>
      </w:pPr>
      <w:r>
        <w:t>PHÓ THỦ TƯỚNG</w:t>
      </w:r>
    </w:p>
    <w:p>
      <w:pPr>
        <w:jc w:val="both"/>
      </w:pPr>
      <w:r>
        <w:t>(Đã ký)</w:t>
      </w:r>
    </w:p>
    <w:p>
      <w:pPr>
        <w:jc w:val="both"/>
      </w:pPr>
      <w:r>
        <w:t>Vũ Khoan</w:t>
      </w:r>
    </w:p>
    <w:p>
      <w:r>
        <w:rPr>
          <w:i/>
        </w:rPr>
        <w:t>Nguồn: Cơ sở dữ liệu quốc gia về văn bản pháp luật (Bộ Tư pháp). VietSmart Legal, legal.giangpham.asia/van-ban/21220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