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sửa đổi Thông tư số 111/1999/TT-BTC ngày 17 tháng 9 năm 1999</w:t>
      </w:r>
    </w:p>
    <w:p>
      <w:pPr>
        <w:jc w:val="both"/>
      </w:pPr>
      <w:r>
        <w:t>hướng dẫn thực hiện chế độ tài chính đối với ngân hàng Nhà nước Việt Nam</w:t>
      </w:r>
    </w:p>
    <w:p>
      <w:pPr>
        <w:jc w:val="both"/>
      </w:pPr>
      <w:r>
        <w:t>_______________________________</w:t>
      </w:r>
    </w:p>
    <w:p>
      <w:pPr>
        <w:jc w:val="both"/>
      </w:pPr>
      <w:r>
        <w:t>Căn cứ Nghị định số 100/1998/NĐ-CP ngày 10/12/1998 của Chính phủ về chế độ tài chính của Ngân hàng Nhà nước Việt Nam, để phù hợp với thực tế hoạt động của Ngân hàng Nhà nước Việt Nam,</w:t>
      </w:r>
    </w:p>
    <w:p>
      <w:pPr>
        <w:jc w:val="both"/>
      </w:pPr>
      <w:r>
        <w:t>Bộ Tài chính hướng dẫn sửa đổi Thông tư số 111/1999/TT-BTC ngày 17/9/1999 hướng dẫn thực hiện chế độ tài chính đối với Ngân hàng Nhà nước Việt Nam như sau:</w:t>
      </w:r>
    </w:p>
    <w:p>
      <w:pPr>
        <w:jc w:val="both"/>
      </w:pPr>
      <w:r>
        <w:t>Điểm 2.7.d phần B Mục III quy định về chi mua sắm công cụ lao động tại Thông tư số 111/1999/TT-BTC được sửa lại như sau: "Tổng mức chi mua sắm công cụ lao động hàng năm của Ngân hàng Nhà nước tính trên số cán bộ, công chức, viên chức Ngân hàng Nhà nước bình quân năm tối đa không quá 4,4 triệu đồng/người/năm."</w:t>
      </w:r>
    </w:p>
    <w:p>
      <w:pPr>
        <w:jc w:val="both"/>
      </w:pPr>
      <w:r>
        <w:t>Thông tư này có hiệu lực thi hành sau 15 ngày, kể từ ngày đăng Công báo và áp dụng từ năm tài chính 2004.</w:t>
      </w:r>
    </w:p>
    <w:p>
      <w:r>
        <w:rPr>
          <w:i/>
        </w:rPr>
        <w:t>Nguồn: Cơ sở dữ liệu quốc gia về văn bản pháp luật (Bộ Tư pháp). VietSmart Legal, legal.giangpham.asia/van-ban/19955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