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28/2004/QĐ-BKHCN</w:t>
      </w:r>
    </w:p>
    <w:p>
      <w:pPr>
        <w:jc w:val="both"/>
      </w:pPr>
      <w:r>
        <w:t>Hà Nội, ngày 1 tháng 10 năm 2004</w:t>
      </w:r>
    </w:p>
    <w:p>
      <w:pPr>
        <w:jc w:val="center"/>
      </w:pPr>
      <w:r>
        <w:rPr>
          <w:b/>
        </w:rPr>
        <w:t>QUYẾT ĐỊNH CỦA BỘ TRƯỞNG BỘ KHOA HỌC VÀ CÔNG NGHỆ</w:t>
      </w:r>
    </w:p>
    <w:p>
      <w:pPr>
        <w:jc w:val="both"/>
      </w:pPr>
      <w:r>
        <w:t>Về phương pháp xác định tỷ lệ nội địa hóa đối với ôtô</w:t>
      </w:r>
    </w:p>
    <w:p>
      <w:pPr>
        <w:jc w:val="both"/>
      </w:pPr>
      <w:r>
        <w:t>BỘ TRƯỞNG BỘ KHOA HỌC VÀ CÔNG NGHỆ</w:t>
      </w:r>
    </w:p>
    <w:p>
      <w:pPr>
        <w:jc w:val="both"/>
      </w:pPr>
      <w:r>
        <w:t>Căn cứ Pháp lệnh Chất lượng hàng hóa năm 1999;</w:t>
      </w:r>
    </w:p>
    <w:p>
      <w:pPr>
        <w:jc w:val="both"/>
      </w:pPr>
      <w:r>
        <w:t>Căn cứ Nghị định số 54/2003/NĐ-CP ngày 19/5/2003 của Chính phủ quy định chức năng, nhiệm vụ, quyền hạn và cơ cấu tổ chức của Bộ Khoa học và Công nghệ, Nghị định số 28/2004/NĐ-CP ngày 16/01/2004 của Chính phủ sửa đổi, bổ sung một số điều Nghị định số 54/2003/NĐ-CP ngày 19/5/2003 của Chính phủ quy định chức năng, nhiệm vụ, quyền hạn và cơ cấu tổ chức của Bộ Khoa học và Công nghệ;</w:t>
      </w:r>
    </w:p>
    <w:p>
      <w:pPr>
        <w:jc w:val="both"/>
      </w:pPr>
      <w:r>
        <w:t>Căn cứ Quyết định số 175/2002/QĐ-TTg ngày 03/12/2002 của Thủ tướng Chính phủ phê duyệt chiến lược phát triển ngành công nghiệp ôtô Việt Nam đến năm 2010, tầm nhìn đến năm 2020;</w:t>
      </w:r>
    </w:p>
    <w:p>
      <w:pPr>
        <w:jc w:val="both"/>
      </w:pPr>
      <w:r>
        <w:t>Căn cứ chỉ đạo của Thủ tướng Chính phủ tại Thông báo số 82/TB-VPCP ngày 16/6/2003, công văn số 4659/VPCP-KG ngày 24/9/2003, Thông báo số 63/TB-VPCP ngày 02/4/2004 và công văn số 2943/VPCP-KG ngày 11/6/2004 của Văn phòng Chính phủ;</w:t>
      </w:r>
    </w:p>
    <w:p>
      <w:pPr>
        <w:jc w:val="both"/>
      </w:pPr>
      <w:r>
        <w:t>Theo đề nghị của Tổng cục trưởng Tổng cục Tiêu chuẩn Đo lường Chất lượng và Vụ trưởng Vụ Pháp chế,</w:t>
      </w:r>
    </w:p>
    <w:p>
      <w:pPr>
        <w:jc w:val="center"/>
      </w:pPr>
      <w:r>
        <w:rPr>
          <w:b/>
        </w:rPr>
        <w:t>QUYẾT ĐỊNH:</w:t>
      </w:r>
    </w:p>
    <w:p>
      <w:pPr>
        <w:jc w:val="both"/>
      </w:pPr>
      <w:r>
        <w:rPr>
          <w:b/>
        </w:rPr>
        <w:t>Điều 1. Quyết định này quy định phương pháp xác định tỷ lệ nội địa hóa đối với ôtô, số điểm cụ thể của các loại linh kiện và trách nhiệm của các cơ quan có liên quan trong việc xác định tỷ lệ nội địa hoá đối với ôtô.</w:t>
      </w:r>
    </w:p>
    <w:p>
      <w:pPr>
        <w:jc w:val="both"/>
      </w:pPr>
      <w:r>
        <w:rPr>
          <w:b/>
        </w:rPr>
        <w:t>Điều 2. Giải thích từ ngữ</w:t>
      </w:r>
    </w:p>
    <w:p>
      <w:pPr>
        <w:jc w:val="both"/>
      </w:pPr>
      <w:r>
        <w:t>Trong Quyết định này, các từ ngữ dưới đây được hiểu như sau:</w:t>
      </w:r>
    </w:p>
    <w:p>
      <w:pPr>
        <w:jc w:val="both"/>
      </w:pPr>
      <w:r>
        <w:t>1. Linh kiện được hiểu là các chi tiết, cụm chi tiết, bộ phận để lắp ráp thành ôtô hoàn chỉnh.</w:t>
      </w:r>
    </w:p>
    <w:p>
      <w:pPr>
        <w:jc w:val="both"/>
      </w:pPr>
      <w:r>
        <w:t>2. Linh kiện nội địa hóa là linh kiện được sản xuất, chế tạo trong nước thay thế phần nhập khẩu.</w:t>
      </w:r>
    </w:p>
    <w:p>
      <w:pPr>
        <w:jc w:val="both"/>
      </w:pPr>
      <w:r>
        <w:t>3. Tỷ lệ nội địa hóa của ôtô là số điểm của linh kiện nội địa hóa so với tổng số điểm của ôtô hoàn chỉnh.</w:t>
      </w:r>
    </w:p>
    <w:p>
      <w:pPr>
        <w:jc w:val="both"/>
      </w:pPr>
      <w:r>
        <w:rPr>
          <w:b/>
        </w:rPr>
        <w:t>Điều 3. Tỷ lệ nội địa hoá được xác định đối với từng loại linh kiện cụ thể của ôtô được xác định theo điểm của loại linh kiện đó quy định tại các Phụ lục 1,2, 3 và 4 ban hành kèm theo Quyết định này.</w:t>
      </w:r>
    </w:p>
    <w:p>
      <w:pPr>
        <w:jc w:val="both"/>
      </w:pPr>
      <w:r>
        <w:rPr>
          <w:b/>
        </w:rPr>
        <w:t>Điều 4. Tỷ lệ nội địa hóa được quy định cho các giai đoạn như sau:</w:t>
      </w:r>
    </w:p>
    <w:p>
      <w:pPr>
        <w:jc w:val="both"/>
      </w:pPr>
      <w:r>
        <w:t>1. Đối với ôtô phổ thông (tương ứng với ôtô khách, ôtô chở hàng quy định tại Tiêu chuẩn Việt Nam 7271: 2003): đạt tỷ lệ nội địa hóa 40% vào năm 2005, 45% vào năm 2006, 50% vào năm 2007, 55% vào năm 2008 và đạt 60% vào năm 2010. Đối với động cơ đạt tỷ lệ nội địa hóa 30% vào năm 2005, 35% vào năm 2006, 40% vào năm 2007, 45% vào năm 2008 và 50% vào năm 2010 và hộp số đạt 65% vào năm 2005, 70% vào năm 2006, 75% vào năm 2007, 80% vào năm 2008, 85% vào năm 2009 và 90% vào năm 2010.</w:t>
      </w:r>
    </w:p>
    <w:p>
      <w:pPr>
        <w:jc w:val="both"/>
      </w:pPr>
      <w:r>
        <w:t>2. Về các loại ôtô chuyên dùng (quy định tại Mục 3.3 của Tiêu chuẩn Việt Nam TCVN 7271:2003): đạt tỷ lệ nội địa hóa 40% vào năm 2005, 45% vào năm 2006, 50% vào năm 2007, 55% vào năm 2008 và đạt 60% vào năm 2010.</w:t>
      </w:r>
    </w:p>
    <w:p>
      <w:pPr>
        <w:jc w:val="both"/>
      </w:pPr>
      <w:r>
        <w:t>3. Về các loại ôtô cao cấp: các loại xe du lịch do các liên doanh sản xuất (tương ứng với ôtô con quy định tại Mục 3.1.1 của Tiêu chuẩn Việt Nam TCVN 7271: 2003) phải đạt tỷ lệ nội địa hóa 20-25% vào năm 2005, 30-35% vào năm 2007 và 40-45% vào năm 2010. Xe buýt cao cấp đạt tỷ lệ nội địa hóa 20% vào năm 2005, 30% vào năm 2007 và 35-40% vào năm 2010.</w:t>
      </w:r>
    </w:p>
    <w:p>
      <w:pPr>
        <w:jc w:val="both"/>
      </w:pPr>
      <w:r>
        <w:rPr>
          <w:b/>
        </w:rPr>
        <w:t>Điều 5. Xác định tỷ lệ nội địa hóa</w:t>
      </w:r>
    </w:p>
    <w:p>
      <w:pPr>
        <w:jc w:val="both"/>
      </w:pPr>
      <w:r>
        <w:t>1. Doanh nghiệp tự kê khai, đăng ký tỷ lệ nội địa hóa theo các Phụ lục 1, 2, 3, và 4 ban hành kèm theo Quyết định này để Bộ Khoa học và Công nghệ xem xét và cấp giấy xác nhận. Bộ Khoa học và Công nghệ thành lập Tổ công tác liên ngành để kiểm tra, xác định tỷ lệ nội địa hóa đối với linh kiện của ôtô.</w:t>
      </w:r>
    </w:p>
    <w:p>
      <w:pPr>
        <w:jc w:val="both"/>
      </w:pPr>
      <w:r>
        <w:t>2. Các linh kiện ôtô mua của các doanh nghiệp khác sản xuất trong nước cũng được tính tỷ lệ nội địa hoá như của doanh nghiệp tự sản xuất trong nước.</w:t>
      </w:r>
    </w:p>
    <w:p>
      <w:pPr>
        <w:jc w:val="both"/>
      </w:pPr>
      <w:r>
        <w:t>3. Các doanh nghiệp nhập khẩu bán thành phẩm các chi tiết, cụm chi tiết hoặc bộ phận để gia công một hoặc nhiều công đoạn được tính tỷ lệ nội địa hoá theo tỷ lệ giá trị gia tăng của chi tiết, cụm chi tiết hoặc bộ phận đó.</w:t>
      </w:r>
    </w:p>
    <w:p>
      <w:pPr>
        <w:jc w:val="both"/>
      </w:pPr>
      <w:r>
        <w:t>4. Các linh kiện ôtô mua của các doanh nghiệp thương mại nhập khẩu thì không được tính là nội địa hóa.</w:t>
      </w:r>
    </w:p>
    <w:p>
      <w:pPr>
        <w:jc w:val="both"/>
      </w:pPr>
      <w:r>
        <w:t>5. Doanh nghiệp có hành vi vi phạm hoặc gian lận trong việc kê khai tỷ lệ nội địa hóa sẽ bị xử lý theo quy định của pháp luật.</w:t>
      </w:r>
    </w:p>
    <w:p>
      <w:pPr>
        <w:jc w:val="both"/>
      </w:pPr>
      <w:r>
        <w:rPr>
          <w:b/>
        </w:rPr>
        <w:t>Điều 6. Quyết định này thay thế Quyết định số 20/2003/QĐ-BKHCN ngày 31/7/2003 của Bộ trưởng Bộ Khoa học và Công nghệ về việc ban hành "Quy định phân loại sản xuất, lắp ráp ôtô", và có hiệu lực thi hành kể từ ngày 01/01/2005.</w:t>
      </w:r>
    </w:p>
    <w:p>
      <w:pPr>
        <w:jc w:val="both"/>
      </w:pPr>
      <w:r>
        <w:rPr>
          <w:b/>
        </w:rPr>
        <w:t>Điều 7. Tổng cục trưởng Tổng cục Tiêu chuẩn Đo lường Chất lượng, Vụ trưởng Vụ Đánh giá, Thẩm định và Giám định công nghệ, Vụ trưởng Vụ Khoa học và Công nghệ các ngành kinh tế - kỹ thuật, Vụ trưởng Vụ Pháp chế, Chánh Văn phòng và các tổ chức, cá nhân có liên quan chịu trách nhiệm thi hành Quyết định này./.</w:t>
      </w:r>
    </w:p>
    <w:p>
      <w:pPr>
        <w:jc w:val="both"/>
      </w:pPr>
      <w:r>
        <w:t>KT. BỘ TRƯỞNG</w:t>
      </w:r>
    </w:p>
    <w:p>
      <w:pPr>
        <w:jc w:val="both"/>
      </w:pPr>
      <w:r>
        <w:t>THỨ TRƯỞNG</w:t>
      </w:r>
    </w:p>
    <w:p>
      <w:pPr>
        <w:jc w:val="both"/>
      </w:pPr>
      <w:r>
        <w:t>(Đã ký)</w:t>
      </w:r>
    </w:p>
    <w:p>
      <w:pPr>
        <w:jc w:val="both"/>
      </w:pPr>
      <w:r>
        <w:t>Bùi Mạnh Hải</w:t>
      </w:r>
    </w:p>
    <w:p>
      <w:r>
        <w:rPr>
          <w:i/>
        </w:rPr>
        <w:t>Nguồn: Cơ sở dữ liệu quốc gia về văn bản pháp luật (Bộ Tư pháp). VietSmart Legal, legal.giangpham.asia/van-ban/19077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